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D4C51F9">
      <w:pPr>
        <w:spacing w:line="360" w:lineRule="auto"/>
        <w:ind w:firstLine="160"/>
        <w:rPr>
          <w:rFonts w:hint="default" w:ascii="CESI黑体-GB2312" w:hAnsi="CESI黑体-GB2312" w:eastAsia="CESI黑体-GB2312" w:cs="CESI黑体-GB2312"/>
          <w:sz w:val="32"/>
          <w:szCs w:val="32"/>
          <w:lang w:val="en-US" w:eastAsia="zh-CN"/>
        </w:rPr>
      </w:pPr>
      <w:r>
        <w:rPr>
          <w:rFonts w:hint="eastAsia" w:ascii="CESI黑体-GB2312" w:hAnsi="CESI黑体-GB2312" w:eastAsia="CESI黑体-GB2312" w:cs="CESI黑体-GB2312"/>
          <w:sz w:val="32"/>
          <w:szCs w:val="32"/>
          <w:lang w:val="en-US" w:eastAsia="zh-CN"/>
        </w:rPr>
        <w:t xml:space="preserve"> </w:t>
      </w:r>
    </w:p>
    <w:p w14:paraId="2BFFB43F">
      <w:pPr>
        <w:spacing w:line="360" w:lineRule="auto"/>
        <w:ind w:firstLine="300"/>
        <w:rPr>
          <w:sz w:val="60"/>
          <w:szCs w:val="60"/>
        </w:rPr>
      </w:pPr>
    </w:p>
    <w:p w14:paraId="4C1C56F8">
      <w:pPr>
        <w:jc w:val="center"/>
        <w:rPr>
          <w:b/>
          <w:bCs/>
          <w:sz w:val="60"/>
          <w:szCs w:val="60"/>
        </w:rPr>
      </w:pPr>
      <w:r>
        <w:rPr>
          <w:b/>
          <w:bCs/>
          <w:sz w:val="60"/>
          <w:szCs w:val="60"/>
        </w:rPr>
        <w:t>常州市政府采购项目</w:t>
      </w:r>
    </w:p>
    <w:p w14:paraId="4B129FF2">
      <w:pPr>
        <w:jc w:val="center"/>
        <w:rPr>
          <w:b/>
          <w:bCs/>
          <w:sz w:val="60"/>
          <w:szCs w:val="60"/>
        </w:rPr>
      </w:pPr>
      <w:r>
        <w:rPr>
          <w:b/>
          <w:bCs/>
          <w:sz w:val="60"/>
          <w:szCs w:val="60"/>
        </w:rPr>
        <w:t>单一来源采购文件示范文本</w:t>
      </w:r>
    </w:p>
    <w:p w14:paraId="340232F5">
      <w:pPr>
        <w:jc w:val="center"/>
        <w:rPr>
          <w:b/>
          <w:bCs/>
          <w:sz w:val="60"/>
          <w:szCs w:val="60"/>
        </w:rPr>
      </w:pPr>
      <w:r>
        <w:rPr>
          <w:rFonts w:hint="eastAsia" w:ascii="方正仿宋_GBK" w:hAnsi="方正仿宋_GBK" w:eastAsia="方正仿宋_GBK" w:cs="方正仿宋_GBK"/>
          <w:b/>
          <w:bCs/>
          <w:sz w:val="60"/>
          <w:szCs w:val="60"/>
        </w:rPr>
        <w:t>（试行</w:t>
      </w:r>
      <w:r>
        <w:rPr>
          <w:rFonts w:ascii="方正仿宋_GBK" w:hAnsi="方正仿宋_GBK" w:eastAsia="方正仿宋_GBK" w:cs="方正仿宋_GBK"/>
          <w:b/>
          <w:bCs/>
          <w:sz w:val="60"/>
          <w:szCs w:val="60"/>
          <w:lang w:val="en"/>
        </w:rPr>
        <w:t>)(</w:t>
      </w:r>
      <w:r>
        <w:rPr>
          <w:rFonts w:hint="eastAsia" w:ascii="方正仿宋_GBK" w:hAnsi="方正仿宋_GBK" w:eastAsia="方正仿宋_GBK" w:cs="方正仿宋_GBK"/>
          <w:b/>
          <w:bCs/>
          <w:sz w:val="60"/>
          <w:szCs w:val="60"/>
        </w:rPr>
        <w:t>2022年版）</w:t>
      </w:r>
    </w:p>
    <w:p w14:paraId="55EFDEB3">
      <w:pPr>
        <w:jc w:val="center"/>
        <w:rPr>
          <w:b/>
          <w:bCs/>
          <w:sz w:val="60"/>
          <w:szCs w:val="60"/>
        </w:rPr>
      </w:pPr>
    </w:p>
    <w:p w14:paraId="28847AD0">
      <w:pPr>
        <w:spacing w:line="360" w:lineRule="auto"/>
        <w:jc w:val="center"/>
        <w:rPr>
          <w:sz w:val="60"/>
          <w:szCs w:val="60"/>
          <w:highlight w:val="none"/>
        </w:rPr>
      </w:pPr>
    </w:p>
    <w:p w14:paraId="43D6B2B1">
      <w:pPr>
        <w:tabs>
          <w:tab w:val="left" w:pos="3240"/>
          <w:tab w:val="left" w:pos="3420"/>
        </w:tabs>
        <w:spacing w:line="360" w:lineRule="auto"/>
        <w:ind w:left="2832" w:hanging="1900"/>
        <w:jc w:val="left"/>
        <w:rPr>
          <w:bCs/>
          <w:sz w:val="36"/>
          <w:szCs w:val="36"/>
          <w:highlight w:val="none"/>
        </w:rPr>
      </w:pPr>
      <w:r>
        <w:rPr>
          <w:bCs/>
          <w:sz w:val="36"/>
          <w:szCs w:val="36"/>
          <w:highlight w:val="none"/>
        </w:rPr>
        <w:t>项目名称：</w:t>
      </w:r>
      <w:r>
        <w:rPr>
          <w:rFonts w:hint="eastAsia"/>
          <w:bCs/>
          <w:sz w:val="36"/>
          <w:szCs w:val="36"/>
          <w:highlight w:val="none"/>
          <w:lang w:val="en-US" w:eastAsia="zh-CN"/>
        </w:rPr>
        <w:t>儒林镇集中供养特困对象养老护理服务项目</w:t>
      </w:r>
    </w:p>
    <w:p w14:paraId="7B9C7A83">
      <w:pPr>
        <w:tabs>
          <w:tab w:val="left" w:pos="3240"/>
          <w:tab w:val="left" w:pos="3420"/>
        </w:tabs>
        <w:spacing w:line="360" w:lineRule="auto"/>
        <w:ind w:left="2832" w:hanging="1900"/>
        <w:jc w:val="left"/>
        <w:rPr>
          <w:bCs/>
          <w:sz w:val="36"/>
          <w:szCs w:val="36"/>
          <w:highlight w:val="none"/>
        </w:rPr>
      </w:pPr>
      <w:r>
        <w:rPr>
          <w:bCs/>
          <w:sz w:val="36"/>
          <w:szCs w:val="36"/>
          <w:highlight w:val="none"/>
        </w:rPr>
        <w:t>项目编号/包号：</w:t>
      </w:r>
      <w:r>
        <w:rPr>
          <w:rFonts w:hint="eastAsia" w:cs="Times New Roman"/>
          <w:bCs/>
          <w:sz w:val="36"/>
          <w:szCs w:val="36"/>
          <w:highlight w:val="none"/>
          <w:lang w:val="en-US" w:eastAsia="zh-CN"/>
        </w:rPr>
        <w:t>JSZC-320413-HSGS-D2026-0002</w:t>
      </w:r>
    </w:p>
    <w:p w14:paraId="47915DA9">
      <w:pPr>
        <w:tabs>
          <w:tab w:val="left" w:pos="3240"/>
          <w:tab w:val="left" w:pos="3420"/>
        </w:tabs>
        <w:spacing w:line="360" w:lineRule="auto"/>
        <w:ind w:left="2832" w:hanging="1900"/>
        <w:jc w:val="left"/>
        <w:rPr>
          <w:rFonts w:hint="eastAsia"/>
          <w:bCs/>
          <w:sz w:val="36"/>
          <w:szCs w:val="36"/>
          <w:highlight w:val="none"/>
          <w:lang w:eastAsia="zh-CN"/>
        </w:rPr>
      </w:pPr>
      <w:r>
        <w:rPr>
          <w:bCs/>
          <w:sz w:val="36"/>
          <w:szCs w:val="36"/>
          <w:highlight w:val="none"/>
        </w:rPr>
        <w:t>采 购 人：</w:t>
      </w:r>
      <w:r>
        <w:rPr>
          <w:rFonts w:hint="eastAsia"/>
          <w:bCs/>
          <w:sz w:val="36"/>
          <w:szCs w:val="36"/>
          <w:highlight w:val="none"/>
          <w:lang w:eastAsia="zh-CN"/>
        </w:rPr>
        <w:t>常州市金坛区儒林镇人民政府</w:t>
      </w:r>
    </w:p>
    <w:p w14:paraId="4106A9CC">
      <w:pPr>
        <w:tabs>
          <w:tab w:val="left" w:pos="2700"/>
          <w:tab w:val="left" w:pos="3584"/>
        </w:tabs>
        <w:spacing w:line="360" w:lineRule="auto"/>
        <w:ind w:firstLine="640"/>
        <w:rPr>
          <w:b/>
          <w:sz w:val="72"/>
        </w:rPr>
        <w:sectPr>
          <w:headerReference r:id="rId4" w:type="first"/>
          <w:footerReference r:id="rId6" w:type="first"/>
          <w:headerReference r:id="rId3" w:type="default"/>
          <w:footerReference r:id="rId5" w:type="even"/>
          <w:type w:val="nextColumn"/>
          <w:pgSz w:w="11907" w:h="16840"/>
          <w:pgMar w:top="1911" w:right="1474" w:bottom="1882" w:left="1587" w:header="851" w:footer="851" w:gutter="0"/>
          <w:pgNumType w:start="1"/>
          <w:cols w:space="1701" w:num="1"/>
          <w:titlePg/>
          <w:docGrid w:linePitch="360" w:charSpace="0"/>
        </w:sectPr>
      </w:pPr>
      <w:r>
        <w:rPr>
          <w:rFonts w:hint="eastAsia"/>
          <w:bCs/>
          <w:sz w:val="36"/>
          <w:szCs w:val="36"/>
          <w:highlight w:val="none"/>
        </w:rPr>
        <w:t>采购</w:t>
      </w:r>
      <w:r>
        <w:rPr>
          <w:bCs/>
          <w:sz w:val="36"/>
          <w:szCs w:val="36"/>
          <w:highlight w:val="none"/>
        </w:rPr>
        <w:t>代理机构：</w:t>
      </w:r>
      <w:r>
        <w:rPr>
          <w:rFonts w:hint="eastAsia"/>
          <w:bCs/>
          <w:sz w:val="36"/>
          <w:szCs w:val="36"/>
          <w:highlight w:val="none"/>
          <w:lang w:val="en-US" w:eastAsia="zh-CN"/>
        </w:rPr>
        <w:t>江苏华溯工程项目管理有限公司</w:t>
      </w:r>
      <w:r>
        <w:rPr>
          <w:bCs/>
          <w:sz w:val="36"/>
          <w:szCs w:val="36"/>
        </w:rPr>
        <w:t xml:space="preserve"> </w:t>
      </w:r>
      <w:r>
        <w:rPr>
          <w:b/>
          <w:sz w:val="72"/>
        </w:rPr>
        <w:br w:type="page" w:clear="all"/>
      </w:r>
    </w:p>
    <w:p w14:paraId="788144AC">
      <w:pPr>
        <w:spacing w:line="360" w:lineRule="auto"/>
        <w:jc w:val="center"/>
        <w:outlineLvl w:val="0"/>
        <w:rPr>
          <w:b/>
          <w:sz w:val="36"/>
          <w:szCs w:val="36"/>
        </w:rPr>
      </w:pPr>
      <w:bookmarkStart w:id="0" w:name="_Toc99301278"/>
      <w:r>
        <w:rPr>
          <w:b/>
          <w:sz w:val="36"/>
          <w:szCs w:val="36"/>
        </w:rPr>
        <w:t>目      录</w:t>
      </w:r>
      <w:bookmarkEnd w:id="0"/>
    </w:p>
    <w:p w14:paraId="29BB6C1D"/>
    <w:p w14:paraId="64CF6D08"/>
    <w:p w14:paraId="6A976BB3"/>
    <w:p w14:paraId="6E12E860">
      <w:pPr>
        <w:pStyle w:val="237"/>
        <w:spacing w:line="360" w:lineRule="auto"/>
        <w:rPr>
          <w:rFonts w:ascii="Times New Roman" w:hAnsi="Times New Roman"/>
          <w:b w:val="0"/>
          <w:sz w:val="21"/>
          <w:szCs w:val="22"/>
        </w:rPr>
      </w:pPr>
      <w:r>
        <w:rPr>
          <w:rFonts w:ascii="Times New Roman" w:hAnsi="Times New Roman"/>
          <w:b w:val="0"/>
        </w:rPr>
        <w:fldChar w:fldCharType="begin"/>
      </w:r>
      <w:r>
        <w:rPr>
          <w:rFonts w:ascii="Times New Roman" w:hAnsi="Times New Roman"/>
          <w:b w:val="0"/>
        </w:rPr>
        <w:instrText xml:space="preserve"> TOC \o "1-1" \h \z \u </w:instrText>
      </w:r>
      <w:r>
        <w:rPr>
          <w:rFonts w:ascii="Times New Roman" w:hAnsi="Times New Roman"/>
          <w:b w:val="0"/>
        </w:rPr>
        <w:fldChar w:fldCharType="separate"/>
      </w:r>
    </w:p>
    <w:p w14:paraId="33B40C93">
      <w:pPr>
        <w:pStyle w:val="237"/>
        <w:spacing w:line="360" w:lineRule="auto"/>
        <w:rPr>
          <w:rFonts w:ascii="Times New Roman" w:hAnsi="Times New Roman"/>
          <w:b w:val="0"/>
          <w:sz w:val="21"/>
          <w:szCs w:val="22"/>
        </w:rPr>
      </w:pPr>
      <w:r>
        <w:fldChar w:fldCharType="begin"/>
      </w:r>
      <w:r>
        <w:instrText xml:space="preserve"> HYPERLINK \l "_Toc99301279" </w:instrText>
      </w:r>
      <w:r>
        <w:fldChar w:fldCharType="separate"/>
      </w:r>
      <w:r>
        <w:rPr>
          <w:rStyle w:val="261"/>
          <w:rFonts w:ascii="Times New Roman" w:hAnsi="Times New Roman"/>
        </w:rPr>
        <w:t>第一章   采购邀请</w:t>
      </w:r>
      <w:r>
        <w:rPr>
          <w:rFonts w:ascii="Times New Roman" w:hAnsi="Times New Roman"/>
        </w:rPr>
        <w:tab/>
      </w:r>
      <w:r>
        <w:rPr>
          <w:rFonts w:ascii="Times New Roman" w:hAnsi="Times New Roman"/>
        </w:rPr>
        <w:fldChar w:fldCharType="begin"/>
      </w:r>
      <w:r>
        <w:rPr>
          <w:rFonts w:ascii="Times New Roman" w:hAnsi="Times New Roman"/>
        </w:rPr>
        <w:instrText xml:space="preserve"> PAGEREF _Toc99301279 \h </w:instrText>
      </w:r>
      <w:r>
        <w:rPr>
          <w:rFonts w:ascii="Times New Roman" w:hAnsi="Times New Roman"/>
        </w:rPr>
        <w:fldChar w:fldCharType="separate"/>
      </w:r>
      <w:r>
        <w:rPr>
          <w:rFonts w:ascii="Times New Roman" w:hAnsi="Times New Roman"/>
        </w:rPr>
        <w:t>3</w:t>
      </w:r>
      <w:r>
        <w:rPr>
          <w:rFonts w:ascii="Times New Roman" w:hAnsi="Times New Roman"/>
        </w:rPr>
        <w:fldChar w:fldCharType="end"/>
      </w:r>
      <w:r>
        <w:rPr>
          <w:rFonts w:ascii="Times New Roman" w:hAnsi="Times New Roman"/>
        </w:rPr>
        <w:fldChar w:fldCharType="end"/>
      </w:r>
    </w:p>
    <w:p w14:paraId="1DAC4957">
      <w:pPr>
        <w:pStyle w:val="237"/>
        <w:spacing w:line="360" w:lineRule="auto"/>
        <w:rPr>
          <w:rFonts w:ascii="Times New Roman" w:hAnsi="Times New Roman"/>
          <w:b w:val="0"/>
          <w:sz w:val="21"/>
          <w:szCs w:val="22"/>
        </w:rPr>
      </w:pPr>
      <w:r>
        <w:fldChar w:fldCharType="begin"/>
      </w:r>
      <w:r>
        <w:instrText xml:space="preserve"> HYPERLINK \l "_Toc99301280" </w:instrText>
      </w:r>
      <w:r>
        <w:fldChar w:fldCharType="separate"/>
      </w:r>
      <w:r>
        <w:rPr>
          <w:rStyle w:val="261"/>
          <w:rFonts w:ascii="Times New Roman" w:hAnsi="Times New Roman"/>
        </w:rPr>
        <w:t>第二章   供应商须知</w:t>
      </w:r>
      <w:r>
        <w:rPr>
          <w:rFonts w:ascii="Times New Roman" w:hAnsi="Times New Roman"/>
        </w:rPr>
        <w:tab/>
      </w:r>
      <w:r>
        <w:rPr>
          <w:rFonts w:ascii="Times New Roman" w:hAnsi="Times New Roman"/>
        </w:rPr>
        <w:fldChar w:fldCharType="begin"/>
      </w:r>
      <w:r>
        <w:rPr>
          <w:rFonts w:ascii="Times New Roman" w:hAnsi="Times New Roman"/>
        </w:rPr>
        <w:instrText xml:space="preserve"> PAGEREF _Toc99301280 \h </w:instrText>
      </w:r>
      <w:r>
        <w:rPr>
          <w:rFonts w:ascii="Times New Roman" w:hAnsi="Times New Roman"/>
        </w:rPr>
        <w:fldChar w:fldCharType="separate"/>
      </w:r>
      <w:r>
        <w:rPr>
          <w:rFonts w:ascii="Times New Roman" w:hAnsi="Times New Roman"/>
        </w:rPr>
        <w:t>6</w:t>
      </w:r>
      <w:r>
        <w:rPr>
          <w:rFonts w:ascii="Times New Roman" w:hAnsi="Times New Roman"/>
        </w:rPr>
        <w:fldChar w:fldCharType="end"/>
      </w:r>
      <w:r>
        <w:rPr>
          <w:rFonts w:ascii="Times New Roman" w:hAnsi="Times New Roman"/>
        </w:rPr>
        <w:fldChar w:fldCharType="end"/>
      </w:r>
    </w:p>
    <w:p w14:paraId="09E9D193">
      <w:pPr>
        <w:pStyle w:val="237"/>
        <w:spacing w:line="360" w:lineRule="auto"/>
        <w:rPr>
          <w:rFonts w:ascii="Times New Roman" w:hAnsi="Times New Roman"/>
          <w:b w:val="0"/>
          <w:sz w:val="21"/>
          <w:szCs w:val="22"/>
        </w:rPr>
      </w:pPr>
      <w:r>
        <w:fldChar w:fldCharType="begin"/>
      </w:r>
      <w:r>
        <w:instrText xml:space="preserve"> HYPERLINK \l "_Toc99301281" </w:instrText>
      </w:r>
      <w:r>
        <w:fldChar w:fldCharType="separate"/>
      </w:r>
      <w:r>
        <w:rPr>
          <w:rStyle w:val="261"/>
          <w:rFonts w:ascii="Times New Roman" w:hAnsi="Times New Roman"/>
        </w:rPr>
        <w:t>第三章   协商程序</w:t>
      </w:r>
      <w:r>
        <w:rPr>
          <w:rFonts w:ascii="Times New Roman" w:hAnsi="Times New Roman"/>
        </w:rPr>
        <w:tab/>
      </w:r>
      <w:r>
        <w:rPr>
          <w:rFonts w:ascii="Times New Roman" w:hAnsi="Times New Roman"/>
        </w:rPr>
        <w:fldChar w:fldCharType="begin"/>
      </w:r>
      <w:r>
        <w:rPr>
          <w:rFonts w:ascii="Times New Roman" w:hAnsi="Times New Roman"/>
        </w:rPr>
        <w:instrText xml:space="preserve"> PAGEREF _Toc99301281 \h </w:instrText>
      </w:r>
      <w:r>
        <w:rPr>
          <w:rFonts w:ascii="Times New Roman" w:hAnsi="Times New Roman"/>
        </w:rPr>
        <w:fldChar w:fldCharType="separate"/>
      </w:r>
      <w:r>
        <w:rPr>
          <w:rFonts w:ascii="Times New Roman" w:hAnsi="Times New Roman"/>
        </w:rPr>
        <w:t>20</w:t>
      </w:r>
      <w:r>
        <w:rPr>
          <w:rFonts w:ascii="Times New Roman" w:hAnsi="Times New Roman"/>
        </w:rPr>
        <w:fldChar w:fldCharType="end"/>
      </w:r>
      <w:r>
        <w:rPr>
          <w:rFonts w:ascii="Times New Roman" w:hAnsi="Times New Roman"/>
        </w:rPr>
        <w:fldChar w:fldCharType="end"/>
      </w:r>
    </w:p>
    <w:p w14:paraId="6BCE4D80">
      <w:pPr>
        <w:pStyle w:val="237"/>
        <w:spacing w:line="360" w:lineRule="auto"/>
        <w:rPr>
          <w:rFonts w:ascii="Times New Roman" w:hAnsi="Times New Roman"/>
          <w:b w:val="0"/>
          <w:sz w:val="21"/>
          <w:szCs w:val="22"/>
        </w:rPr>
      </w:pPr>
      <w:r>
        <w:fldChar w:fldCharType="begin"/>
      </w:r>
      <w:r>
        <w:instrText xml:space="preserve"> HYPERLINK \l "_Toc99301282" </w:instrText>
      </w:r>
      <w:r>
        <w:fldChar w:fldCharType="separate"/>
      </w:r>
      <w:r>
        <w:rPr>
          <w:rStyle w:val="261"/>
          <w:rFonts w:ascii="Times New Roman" w:hAnsi="Times New Roman"/>
        </w:rPr>
        <w:t>第四章   采购需求</w:t>
      </w:r>
      <w:r>
        <w:rPr>
          <w:rFonts w:ascii="Times New Roman" w:hAnsi="Times New Roman"/>
        </w:rPr>
        <w:tab/>
      </w:r>
      <w:r>
        <w:rPr>
          <w:rFonts w:ascii="Times New Roman" w:hAnsi="Times New Roman"/>
        </w:rPr>
        <w:fldChar w:fldCharType="begin"/>
      </w:r>
      <w:r>
        <w:rPr>
          <w:rFonts w:ascii="Times New Roman" w:hAnsi="Times New Roman"/>
        </w:rPr>
        <w:instrText xml:space="preserve"> PAGEREF _Toc99301282 \h </w:instrText>
      </w:r>
      <w:r>
        <w:rPr>
          <w:rFonts w:ascii="Times New Roman" w:hAnsi="Times New Roman"/>
        </w:rPr>
        <w:fldChar w:fldCharType="separate"/>
      </w:r>
      <w:r>
        <w:rPr>
          <w:rFonts w:ascii="Times New Roman" w:hAnsi="Times New Roman"/>
        </w:rPr>
        <w:t>27</w:t>
      </w:r>
      <w:r>
        <w:rPr>
          <w:rFonts w:ascii="Times New Roman" w:hAnsi="Times New Roman"/>
        </w:rPr>
        <w:fldChar w:fldCharType="end"/>
      </w:r>
      <w:r>
        <w:rPr>
          <w:rFonts w:ascii="Times New Roman" w:hAnsi="Times New Roman"/>
        </w:rPr>
        <w:fldChar w:fldCharType="end"/>
      </w:r>
    </w:p>
    <w:p w14:paraId="1A4BEF51">
      <w:pPr>
        <w:pStyle w:val="237"/>
        <w:spacing w:line="360" w:lineRule="auto"/>
        <w:rPr>
          <w:rFonts w:ascii="Times New Roman" w:hAnsi="Times New Roman"/>
          <w:b w:val="0"/>
          <w:sz w:val="21"/>
          <w:szCs w:val="22"/>
        </w:rPr>
      </w:pPr>
      <w:r>
        <w:fldChar w:fldCharType="begin"/>
      </w:r>
      <w:r>
        <w:instrText xml:space="preserve"> HYPERLINK \l "_Toc99301283" </w:instrText>
      </w:r>
      <w:r>
        <w:fldChar w:fldCharType="separate"/>
      </w:r>
      <w:r>
        <w:rPr>
          <w:rStyle w:val="261"/>
          <w:rFonts w:ascii="Times New Roman" w:hAnsi="Times New Roman"/>
        </w:rPr>
        <w:t>第五章   合同草案条款</w:t>
      </w:r>
      <w:r>
        <w:rPr>
          <w:rFonts w:ascii="Times New Roman" w:hAnsi="Times New Roman"/>
        </w:rPr>
        <w:tab/>
      </w:r>
      <w:r>
        <w:rPr>
          <w:rFonts w:ascii="Times New Roman" w:hAnsi="Times New Roman"/>
        </w:rPr>
        <w:fldChar w:fldCharType="begin"/>
      </w:r>
      <w:r>
        <w:rPr>
          <w:rFonts w:ascii="Times New Roman" w:hAnsi="Times New Roman"/>
        </w:rPr>
        <w:instrText xml:space="preserve"> PAGEREF _Toc99301283 \h </w:instrText>
      </w:r>
      <w:r>
        <w:rPr>
          <w:rFonts w:ascii="Times New Roman" w:hAnsi="Times New Roman"/>
        </w:rPr>
        <w:fldChar w:fldCharType="separate"/>
      </w:r>
      <w:r>
        <w:rPr>
          <w:rFonts w:ascii="Times New Roman" w:hAnsi="Times New Roman"/>
        </w:rPr>
        <w:t>28</w:t>
      </w:r>
      <w:r>
        <w:rPr>
          <w:rFonts w:ascii="Times New Roman" w:hAnsi="Times New Roman"/>
        </w:rPr>
        <w:fldChar w:fldCharType="end"/>
      </w:r>
      <w:r>
        <w:rPr>
          <w:rFonts w:ascii="Times New Roman" w:hAnsi="Times New Roman"/>
        </w:rPr>
        <w:fldChar w:fldCharType="end"/>
      </w:r>
    </w:p>
    <w:p w14:paraId="4E263E3F">
      <w:pPr>
        <w:pStyle w:val="237"/>
        <w:spacing w:line="360" w:lineRule="auto"/>
        <w:rPr>
          <w:rFonts w:ascii="Times New Roman" w:hAnsi="Times New Roman"/>
          <w:b w:val="0"/>
          <w:sz w:val="21"/>
          <w:szCs w:val="22"/>
        </w:rPr>
      </w:pPr>
      <w:r>
        <w:fldChar w:fldCharType="begin"/>
      </w:r>
      <w:r>
        <w:instrText xml:space="preserve"> HYPERLINK \l "_Toc99301284" </w:instrText>
      </w:r>
      <w:r>
        <w:fldChar w:fldCharType="separate"/>
      </w:r>
      <w:r>
        <w:rPr>
          <w:rStyle w:val="261"/>
          <w:rFonts w:ascii="Times New Roman" w:hAnsi="Times New Roman"/>
        </w:rPr>
        <w:t>第六章   响应文件格式</w:t>
      </w:r>
      <w:r>
        <w:rPr>
          <w:rFonts w:ascii="Times New Roman" w:hAnsi="Times New Roman"/>
        </w:rPr>
        <w:tab/>
      </w:r>
      <w:r>
        <w:rPr>
          <w:rFonts w:ascii="Times New Roman" w:hAnsi="Times New Roman"/>
        </w:rPr>
        <w:fldChar w:fldCharType="begin"/>
      </w:r>
      <w:r>
        <w:rPr>
          <w:rFonts w:ascii="Times New Roman" w:hAnsi="Times New Roman"/>
        </w:rPr>
        <w:instrText xml:space="preserve"> PAGEREF _Toc99301284 \h </w:instrText>
      </w:r>
      <w:r>
        <w:rPr>
          <w:rFonts w:ascii="Times New Roman" w:hAnsi="Times New Roman"/>
        </w:rPr>
        <w:fldChar w:fldCharType="separate"/>
      </w:r>
      <w:r>
        <w:rPr>
          <w:rFonts w:ascii="Times New Roman" w:hAnsi="Times New Roman"/>
        </w:rPr>
        <w:t>37</w:t>
      </w:r>
      <w:r>
        <w:rPr>
          <w:rFonts w:ascii="Times New Roman" w:hAnsi="Times New Roman"/>
        </w:rPr>
        <w:fldChar w:fldCharType="end"/>
      </w:r>
      <w:r>
        <w:rPr>
          <w:rFonts w:ascii="Times New Roman" w:hAnsi="Times New Roman"/>
        </w:rPr>
        <w:fldChar w:fldCharType="end"/>
      </w:r>
    </w:p>
    <w:p w14:paraId="5488C0AC">
      <w:pPr>
        <w:pStyle w:val="237"/>
        <w:spacing w:line="360" w:lineRule="auto"/>
        <w:rPr>
          <w:rFonts w:ascii="Times New Roman" w:hAnsi="Times New Roman"/>
          <w:b w:val="0"/>
        </w:rPr>
      </w:pPr>
      <w:r>
        <w:rPr>
          <w:rFonts w:ascii="Times New Roman" w:hAnsi="Times New Roman"/>
          <w:b w:val="0"/>
        </w:rPr>
        <w:fldChar w:fldCharType="end"/>
      </w:r>
    </w:p>
    <w:p w14:paraId="33B4AB62">
      <w:pPr>
        <w:widowControl/>
        <w:jc w:val="left"/>
        <w:rPr>
          <w:b/>
          <w:sz w:val="36"/>
          <w:szCs w:val="36"/>
        </w:rPr>
      </w:pPr>
      <w:r>
        <w:rPr>
          <w:b/>
          <w:sz w:val="36"/>
          <w:szCs w:val="36"/>
        </w:rPr>
        <w:br w:type="page" w:clear="all"/>
      </w:r>
    </w:p>
    <w:p w14:paraId="0E664294">
      <w:pPr>
        <w:bidi w:val="0"/>
        <w:jc w:val="left"/>
        <w:rPr>
          <w:rFonts w:hint="default" w:ascii="Times New Roman" w:hAnsi="Times New Roman" w:eastAsia="宋体" w:cs="Times New Roman"/>
          <w:sz w:val="21"/>
          <w:szCs w:val="24"/>
          <w:lang w:val="en-US" w:eastAsia="zh-CN" w:bidi="ar-SA"/>
        </w:rPr>
      </w:pPr>
    </w:p>
    <w:p w14:paraId="35AB5616">
      <w:pPr>
        <w:spacing w:line="360" w:lineRule="auto"/>
        <w:jc w:val="center"/>
        <w:outlineLvl w:val="0"/>
        <w:rPr>
          <w:b/>
          <w:sz w:val="36"/>
          <w:szCs w:val="36"/>
        </w:rPr>
      </w:pPr>
      <w:bookmarkStart w:id="1" w:name="_Toc99301279"/>
      <w:r>
        <w:rPr>
          <w:b/>
          <w:sz w:val="36"/>
          <w:szCs w:val="36"/>
        </w:rPr>
        <w:t>第一章   采购邀请</w:t>
      </w:r>
      <w:bookmarkEnd w:id="1"/>
    </w:p>
    <w:p w14:paraId="4265FC4D">
      <w:pPr>
        <w:spacing w:line="360" w:lineRule="auto"/>
        <w:ind w:firstLine="640"/>
        <w:rPr>
          <w:sz w:val="32"/>
          <w:szCs w:val="32"/>
        </w:rPr>
      </w:pPr>
    </w:p>
    <w:p w14:paraId="50135589">
      <w:pPr>
        <w:pStyle w:val="185"/>
        <w:spacing w:before="0" w:line="360" w:lineRule="auto"/>
        <w:jc w:val="left"/>
        <w:rPr>
          <w:rFonts w:ascii="Times New Roman" w:hAnsi="Times New Roman" w:eastAsia="宋体"/>
          <w:sz w:val="24"/>
          <w:szCs w:val="24"/>
          <w:highlight w:val="none"/>
        </w:rPr>
      </w:pPr>
      <w:bookmarkStart w:id="2" w:name="_Toc28359002"/>
      <w:bookmarkStart w:id="3" w:name="_Toc28359079"/>
      <w:bookmarkStart w:id="4" w:name="_Toc35393790"/>
      <w:bookmarkStart w:id="5" w:name="_Toc35393621"/>
      <w:bookmarkStart w:id="6" w:name="_Hlk24379207"/>
      <w:r>
        <w:rPr>
          <w:rFonts w:ascii="Times New Roman" w:hAnsi="Times New Roman" w:eastAsia="宋体"/>
          <w:sz w:val="24"/>
          <w:szCs w:val="24"/>
        </w:rPr>
        <w:t>一</w:t>
      </w:r>
      <w:r>
        <w:rPr>
          <w:rFonts w:ascii="Times New Roman" w:hAnsi="Times New Roman" w:eastAsia="宋体"/>
          <w:sz w:val="24"/>
          <w:szCs w:val="24"/>
          <w:highlight w:val="none"/>
        </w:rPr>
        <w:t>、项目基本情况</w:t>
      </w:r>
      <w:bookmarkEnd w:id="2"/>
      <w:bookmarkEnd w:id="3"/>
      <w:bookmarkEnd w:id="4"/>
      <w:bookmarkEnd w:id="5"/>
    </w:p>
    <w:p w14:paraId="38F66424">
      <w:pPr>
        <w:spacing w:line="360" w:lineRule="auto"/>
        <w:ind w:firstLine="480"/>
        <w:rPr>
          <w:rFonts w:hint="eastAsia" w:ascii="Times New Roman" w:hAnsi="Times New Roman" w:eastAsia="宋体" w:cs="Times New Roman"/>
          <w:sz w:val="24"/>
          <w:highlight w:val="none"/>
          <w:u w:val="single"/>
          <w:lang w:val="en-US" w:eastAsia="zh-CN"/>
        </w:rPr>
      </w:pPr>
      <w:r>
        <w:rPr>
          <w:sz w:val="24"/>
          <w:highlight w:val="none"/>
        </w:rPr>
        <w:t>1.项目编号：</w:t>
      </w:r>
      <w:r>
        <w:rPr>
          <w:rFonts w:hint="eastAsia" w:cs="Times New Roman"/>
          <w:sz w:val="24"/>
          <w:highlight w:val="none"/>
          <w:u w:val="single"/>
          <w:lang w:val="en-US" w:eastAsia="zh-CN"/>
        </w:rPr>
        <w:t>JSZC-320413-HSGS-D2026-0002</w:t>
      </w:r>
    </w:p>
    <w:p w14:paraId="301A7A80">
      <w:pPr>
        <w:spacing w:line="360" w:lineRule="auto"/>
        <w:ind w:firstLine="480"/>
        <w:rPr>
          <w:sz w:val="24"/>
          <w:highlight w:val="none"/>
        </w:rPr>
      </w:pPr>
      <w:r>
        <w:rPr>
          <w:sz w:val="24"/>
          <w:highlight w:val="none"/>
        </w:rPr>
        <w:t>2.项目名称：</w:t>
      </w:r>
      <w:r>
        <w:rPr>
          <w:rFonts w:hint="eastAsia"/>
          <w:sz w:val="24"/>
          <w:highlight w:val="none"/>
          <w:u w:val="single"/>
          <w:lang w:val="en-US" w:eastAsia="zh-CN"/>
        </w:rPr>
        <w:t>儒林镇集中供养特困对象养老护理服务项目</w:t>
      </w:r>
    </w:p>
    <w:bookmarkEnd w:id="6"/>
    <w:p w14:paraId="4C992DBE">
      <w:pPr>
        <w:spacing w:line="360" w:lineRule="auto"/>
        <w:ind w:firstLine="480"/>
        <w:rPr>
          <w:rFonts w:hint="eastAsia" w:eastAsia="宋体"/>
          <w:sz w:val="24"/>
          <w:highlight w:val="none"/>
          <w:lang w:eastAsia="zh-CN"/>
        </w:rPr>
      </w:pPr>
      <w:r>
        <w:rPr>
          <w:sz w:val="24"/>
          <w:highlight w:val="none"/>
        </w:rPr>
        <w:t>3.项目预算金额：</w:t>
      </w:r>
      <w:r>
        <w:rPr>
          <w:rFonts w:hint="eastAsia"/>
          <w:sz w:val="24"/>
          <w:highlight w:val="none"/>
          <w:u w:val="single"/>
          <w:lang w:val="en-US" w:eastAsia="zh-CN"/>
        </w:rPr>
        <w:t>375</w:t>
      </w:r>
      <w:r>
        <w:rPr>
          <w:sz w:val="24"/>
          <w:highlight w:val="none"/>
        </w:rPr>
        <w:t>万元、项目最高限价（如有）：</w:t>
      </w:r>
      <w:r>
        <w:rPr>
          <w:rFonts w:hint="eastAsia"/>
          <w:sz w:val="24"/>
          <w:highlight w:val="none"/>
          <w:u w:val="single"/>
          <w:lang w:val="en-US" w:eastAsia="zh-CN"/>
        </w:rPr>
        <w:t xml:space="preserve"> 1250000</w:t>
      </w:r>
      <w:r>
        <w:rPr>
          <w:sz w:val="24"/>
          <w:highlight w:val="none"/>
        </w:rPr>
        <w:t>元</w:t>
      </w:r>
      <w:r>
        <w:rPr>
          <w:rFonts w:hint="eastAsia"/>
          <w:sz w:val="24"/>
          <w:highlight w:val="none"/>
          <w:lang w:val="en-US" w:eastAsia="zh-CN"/>
        </w:rPr>
        <w:t>/年</w:t>
      </w:r>
      <w:r>
        <w:rPr>
          <w:rFonts w:hint="eastAsia"/>
          <w:sz w:val="24"/>
          <w:highlight w:val="none"/>
          <w:lang w:eastAsia="zh-CN"/>
        </w:rPr>
        <w:t>，供应商应有明确报价，超过最高限价或者无报价响应的，作无效响应文件处理。</w:t>
      </w:r>
    </w:p>
    <w:p w14:paraId="45C5FB6D">
      <w:pPr>
        <w:spacing w:line="360" w:lineRule="auto"/>
        <w:ind w:firstLine="480"/>
        <w:rPr>
          <w:sz w:val="24"/>
          <w:highlight w:val="none"/>
        </w:rPr>
      </w:pPr>
      <w:r>
        <w:rPr>
          <w:sz w:val="24"/>
          <w:highlight w:val="none"/>
        </w:rPr>
        <w:t>4.采购需求：</w:t>
      </w:r>
    </w:p>
    <w:tbl>
      <w:tblPr>
        <w:tblStyle w:val="30"/>
        <w:tblW w:w="4972"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777"/>
        <w:gridCol w:w="2638"/>
        <w:gridCol w:w="1735"/>
        <w:gridCol w:w="828"/>
        <w:gridCol w:w="3258"/>
      </w:tblGrid>
      <w:tr w14:paraId="231A302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379" w:type="dxa"/>
            <w:noWrap w:val="0"/>
            <w:vAlign w:val="center"/>
          </w:tcPr>
          <w:p w14:paraId="40F1E893">
            <w:pPr>
              <w:jc w:val="center"/>
              <w:rPr>
                <w:bCs/>
                <w:szCs w:val="21"/>
                <w:highlight w:val="none"/>
              </w:rPr>
            </w:pPr>
            <w:r>
              <w:rPr>
                <w:bCs/>
                <w:szCs w:val="21"/>
                <w:highlight w:val="none"/>
              </w:rPr>
              <w:t>包号</w:t>
            </w:r>
          </w:p>
        </w:tc>
        <w:tc>
          <w:tcPr>
            <w:tcW w:w="1446" w:type="dxa"/>
            <w:noWrap w:val="0"/>
            <w:vAlign w:val="center"/>
          </w:tcPr>
          <w:p w14:paraId="759AF960">
            <w:pPr>
              <w:jc w:val="center"/>
              <w:rPr>
                <w:bCs/>
                <w:szCs w:val="21"/>
                <w:highlight w:val="none"/>
              </w:rPr>
            </w:pPr>
            <w:r>
              <w:rPr>
                <w:bCs/>
                <w:szCs w:val="21"/>
                <w:highlight w:val="none"/>
              </w:rPr>
              <w:t>标的名称</w:t>
            </w:r>
          </w:p>
        </w:tc>
        <w:tc>
          <w:tcPr>
            <w:tcW w:w="933" w:type="dxa"/>
            <w:noWrap w:val="0"/>
            <w:vAlign w:val="center"/>
          </w:tcPr>
          <w:p w14:paraId="7F51780B">
            <w:pPr>
              <w:jc w:val="center"/>
              <w:rPr>
                <w:bCs/>
                <w:szCs w:val="21"/>
                <w:highlight w:val="none"/>
              </w:rPr>
            </w:pPr>
            <w:r>
              <w:rPr>
                <w:rFonts w:hint="eastAsia"/>
                <w:bCs/>
                <w:szCs w:val="21"/>
                <w:highlight w:val="none"/>
                <w:lang w:eastAsia="zh-CN"/>
              </w:rPr>
              <w:t>控制价</w:t>
            </w:r>
          </w:p>
          <w:p w14:paraId="530C0C9B">
            <w:pPr>
              <w:jc w:val="center"/>
              <w:rPr>
                <w:bCs/>
                <w:szCs w:val="21"/>
                <w:highlight w:val="none"/>
              </w:rPr>
            </w:pPr>
            <w:r>
              <w:rPr>
                <w:bCs/>
                <w:szCs w:val="21"/>
                <w:highlight w:val="none"/>
              </w:rPr>
              <w:t>（元</w:t>
            </w:r>
            <w:r>
              <w:rPr>
                <w:rFonts w:hint="eastAsia"/>
                <w:bCs/>
                <w:szCs w:val="21"/>
                <w:highlight w:val="none"/>
                <w:lang w:val="en-US" w:eastAsia="zh-CN"/>
              </w:rPr>
              <w:t>/年</w:t>
            </w:r>
            <w:r>
              <w:rPr>
                <w:bCs/>
                <w:szCs w:val="21"/>
                <w:highlight w:val="none"/>
              </w:rPr>
              <w:t>）</w:t>
            </w:r>
          </w:p>
        </w:tc>
        <w:tc>
          <w:tcPr>
            <w:tcW w:w="454" w:type="dxa"/>
            <w:noWrap w:val="0"/>
            <w:vAlign w:val="center"/>
          </w:tcPr>
          <w:p w14:paraId="2920AEBA">
            <w:pPr>
              <w:jc w:val="center"/>
              <w:rPr>
                <w:bCs/>
                <w:szCs w:val="21"/>
                <w:highlight w:val="none"/>
              </w:rPr>
            </w:pPr>
            <w:r>
              <w:rPr>
                <w:bCs/>
                <w:szCs w:val="21"/>
                <w:highlight w:val="none"/>
              </w:rPr>
              <w:t>数量</w:t>
            </w:r>
          </w:p>
        </w:tc>
        <w:tc>
          <w:tcPr>
            <w:tcW w:w="1785" w:type="dxa"/>
            <w:noWrap w:val="0"/>
            <w:vAlign w:val="center"/>
          </w:tcPr>
          <w:p w14:paraId="0591B6E0">
            <w:pPr>
              <w:jc w:val="center"/>
              <w:rPr>
                <w:szCs w:val="21"/>
                <w:highlight w:val="none"/>
              </w:rPr>
            </w:pPr>
            <w:r>
              <w:rPr>
                <w:szCs w:val="21"/>
                <w:highlight w:val="none"/>
              </w:rPr>
              <w:t>简要技术需求或服务要求</w:t>
            </w:r>
          </w:p>
        </w:tc>
      </w:tr>
      <w:tr w14:paraId="64CAB01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379" w:type="dxa"/>
            <w:noWrap w:val="0"/>
            <w:vAlign w:val="center"/>
          </w:tcPr>
          <w:p w14:paraId="50433F7E">
            <w:pPr>
              <w:jc w:val="center"/>
              <w:rPr>
                <w:bCs/>
                <w:szCs w:val="21"/>
                <w:highlight w:val="none"/>
              </w:rPr>
            </w:pPr>
            <w:r>
              <w:rPr>
                <w:bCs/>
                <w:szCs w:val="21"/>
                <w:highlight w:val="none"/>
              </w:rPr>
              <w:t>01</w:t>
            </w:r>
          </w:p>
        </w:tc>
        <w:tc>
          <w:tcPr>
            <w:tcW w:w="1446" w:type="dxa"/>
            <w:noWrap w:val="0"/>
            <w:vAlign w:val="center"/>
          </w:tcPr>
          <w:p w14:paraId="62D3637A">
            <w:pPr>
              <w:jc w:val="center"/>
              <w:rPr>
                <w:bCs/>
                <w:szCs w:val="21"/>
                <w:highlight w:val="none"/>
              </w:rPr>
            </w:pPr>
            <w:r>
              <w:rPr>
                <w:rFonts w:hint="eastAsia"/>
                <w:bCs/>
                <w:szCs w:val="21"/>
                <w:highlight w:val="none"/>
                <w:lang w:val="en-US" w:eastAsia="zh-CN"/>
              </w:rPr>
              <w:t>儒林镇集中供养特困对象养老护理服务项目</w:t>
            </w:r>
          </w:p>
        </w:tc>
        <w:tc>
          <w:tcPr>
            <w:tcW w:w="933" w:type="dxa"/>
            <w:noWrap w:val="0"/>
            <w:vAlign w:val="center"/>
          </w:tcPr>
          <w:p w14:paraId="6E56BC22">
            <w:pPr>
              <w:jc w:val="center"/>
              <w:rPr>
                <w:rFonts w:hint="default" w:eastAsia="宋体"/>
                <w:bCs/>
                <w:szCs w:val="21"/>
                <w:highlight w:val="none"/>
                <w:lang w:val="en-US" w:eastAsia="zh-CN"/>
              </w:rPr>
            </w:pPr>
            <w:r>
              <w:rPr>
                <w:rFonts w:hint="eastAsia"/>
                <w:bCs/>
                <w:szCs w:val="21"/>
                <w:highlight w:val="none"/>
                <w:lang w:val="en-US" w:eastAsia="zh-CN"/>
              </w:rPr>
              <w:t>1250000</w:t>
            </w:r>
            <w:r>
              <w:rPr>
                <w:rFonts w:hint="default" w:eastAsia="宋体"/>
                <w:bCs/>
                <w:szCs w:val="21"/>
                <w:highlight w:val="none"/>
                <w:lang w:val="en-US" w:eastAsia="zh-CN"/>
              </w:rPr>
              <w:t xml:space="preserve"> </w:t>
            </w:r>
            <w:r>
              <w:rPr>
                <w:rFonts w:hint="eastAsia"/>
                <w:bCs/>
                <w:szCs w:val="21"/>
                <w:highlight w:val="none"/>
                <w:lang w:val="en-US" w:eastAsia="zh-CN"/>
              </w:rPr>
              <w:t xml:space="preserve"> </w:t>
            </w:r>
          </w:p>
        </w:tc>
        <w:tc>
          <w:tcPr>
            <w:tcW w:w="454" w:type="dxa"/>
            <w:noWrap w:val="0"/>
            <w:vAlign w:val="center"/>
          </w:tcPr>
          <w:p w14:paraId="5E443AB4">
            <w:pPr>
              <w:jc w:val="center"/>
              <w:rPr>
                <w:rFonts w:hint="eastAsia" w:eastAsia="宋体"/>
                <w:bCs/>
                <w:szCs w:val="21"/>
                <w:highlight w:val="none"/>
                <w:lang w:val="en-US" w:eastAsia="zh-CN"/>
              </w:rPr>
            </w:pPr>
            <w:r>
              <w:rPr>
                <w:rFonts w:hint="eastAsia"/>
                <w:bCs/>
                <w:szCs w:val="21"/>
                <w:highlight w:val="none"/>
                <w:lang w:val="en-US" w:eastAsia="zh-CN"/>
              </w:rPr>
              <w:t>1</w:t>
            </w:r>
          </w:p>
        </w:tc>
        <w:tc>
          <w:tcPr>
            <w:tcW w:w="1785" w:type="dxa"/>
            <w:noWrap w:val="0"/>
            <w:vAlign w:val="center"/>
          </w:tcPr>
          <w:p w14:paraId="77839BD9">
            <w:pPr>
              <w:jc w:val="center"/>
              <w:rPr>
                <w:szCs w:val="21"/>
                <w:highlight w:val="none"/>
              </w:rPr>
            </w:pPr>
            <w:r>
              <w:rPr>
                <w:rFonts w:hint="eastAsia"/>
                <w:szCs w:val="21"/>
                <w:highlight w:val="none"/>
                <w:lang w:eastAsia="zh-CN"/>
              </w:rPr>
              <w:t>详见采购需求</w:t>
            </w:r>
          </w:p>
        </w:tc>
      </w:tr>
    </w:tbl>
    <w:p w14:paraId="2C184763">
      <w:pPr>
        <w:spacing w:line="360" w:lineRule="auto"/>
        <w:ind w:firstLine="480"/>
        <w:rPr>
          <w:rFonts w:hint="default"/>
          <w:sz w:val="24"/>
          <w:highlight w:val="none"/>
          <w:u w:val="single"/>
          <w:lang w:val="en-US"/>
        </w:rPr>
      </w:pPr>
      <w:r>
        <w:rPr>
          <w:sz w:val="24"/>
          <w:highlight w:val="none"/>
        </w:rPr>
        <w:t>5.合同履行期限：</w:t>
      </w:r>
      <w:r>
        <w:rPr>
          <w:rFonts w:hint="eastAsia"/>
          <w:sz w:val="24"/>
          <w:highlight w:val="none"/>
          <w:u w:val="single"/>
          <w:lang w:val="en-US" w:eastAsia="zh-CN"/>
        </w:rPr>
        <w:t>3年（1+1+1）模式，合同一年一签，合同期满，甲方将对乙方进行考核，考核合格可续签下一年合同；考核不合格，甲方出具书面整改意见，乙方根据考核结果进行三个月的整改，整改通过则续签，整改不通过则合同终止。</w:t>
      </w:r>
    </w:p>
    <w:p w14:paraId="3278785A">
      <w:pPr>
        <w:spacing w:line="360" w:lineRule="auto"/>
        <w:ind w:firstLine="480"/>
        <w:rPr>
          <w:sz w:val="24"/>
          <w:highlight w:val="none"/>
        </w:rPr>
      </w:pPr>
      <w:r>
        <w:rPr>
          <w:sz w:val="24"/>
          <w:highlight w:val="none"/>
        </w:rPr>
        <w:t xml:space="preserve">6.本项目是否接受联合体：□是  </w:t>
      </w:r>
      <w:r>
        <w:rPr>
          <w:rFonts w:hint="eastAsia"/>
          <w:sz w:val="24"/>
          <w:highlight w:val="none"/>
          <w:lang w:eastAsia="zh-CN"/>
        </w:rPr>
        <w:t>☑</w:t>
      </w:r>
      <w:r>
        <w:rPr>
          <w:sz w:val="24"/>
          <w:highlight w:val="none"/>
        </w:rPr>
        <w:t>否。</w:t>
      </w:r>
    </w:p>
    <w:p w14:paraId="73E678FA">
      <w:pPr>
        <w:spacing w:line="360" w:lineRule="auto"/>
        <w:ind w:firstLine="480"/>
        <w:rPr>
          <w:sz w:val="24"/>
          <w:highlight w:val="none"/>
        </w:rPr>
      </w:pPr>
      <w:bookmarkStart w:id="7" w:name="_Toc35393791"/>
      <w:bookmarkStart w:id="8" w:name="_Toc35393622"/>
      <w:bookmarkStart w:id="9" w:name="_Toc28359080"/>
      <w:bookmarkStart w:id="10" w:name="_Toc28359003"/>
      <w:r>
        <w:rPr>
          <w:rFonts w:hint="eastAsia"/>
          <w:sz w:val="24"/>
          <w:highlight w:val="none"/>
        </w:rPr>
        <w:t>7.</w:t>
      </w:r>
      <w:r>
        <w:rPr>
          <w:sz w:val="24"/>
          <w:highlight w:val="none"/>
        </w:rPr>
        <w:t>本项目是否接受</w:t>
      </w:r>
      <w:r>
        <w:rPr>
          <w:rFonts w:hint="eastAsia"/>
          <w:sz w:val="24"/>
          <w:highlight w:val="none"/>
        </w:rPr>
        <w:t>进口产品响应</w:t>
      </w:r>
      <w:r>
        <w:rPr>
          <w:sz w:val="24"/>
          <w:highlight w:val="none"/>
        </w:rPr>
        <w:t xml:space="preserve">：□是  </w:t>
      </w:r>
      <w:r>
        <w:rPr>
          <w:rFonts w:hint="eastAsia"/>
          <w:sz w:val="24"/>
          <w:highlight w:val="none"/>
          <w:lang w:eastAsia="zh-CN"/>
        </w:rPr>
        <w:t>☑</w:t>
      </w:r>
      <w:r>
        <w:rPr>
          <w:sz w:val="24"/>
          <w:highlight w:val="none"/>
        </w:rPr>
        <w:t>否。</w:t>
      </w:r>
    </w:p>
    <w:p w14:paraId="359A9F36">
      <w:pPr>
        <w:pStyle w:val="185"/>
        <w:spacing w:before="0" w:line="360" w:lineRule="auto"/>
        <w:jc w:val="left"/>
        <w:rPr>
          <w:rFonts w:ascii="Times New Roman" w:hAnsi="Times New Roman" w:eastAsia="宋体"/>
          <w:sz w:val="24"/>
          <w:szCs w:val="24"/>
          <w:highlight w:val="none"/>
        </w:rPr>
      </w:pPr>
      <w:r>
        <w:rPr>
          <w:rFonts w:ascii="Times New Roman" w:hAnsi="Times New Roman" w:eastAsia="宋体"/>
          <w:sz w:val="24"/>
          <w:szCs w:val="24"/>
          <w:highlight w:val="none"/>
        </w:rPr>
        <w:t>二、申请人的资格要求（须同时满足）</w:t>
      </w:r>
      <w:bookmarkEnd w:id="7"/>
      <w:bookmarkEnd w:id="8"/>
      <w:bookmarkEnd w:id="9"/>
      <w:bookmarkEnd w:id="10"/>
    </w:p>
    <w:p w14:paraId="66906DA1">
      <w:pPr>
        <w:spacing w:line="360" w:lineRule="auto"/>
        <w:ind w:firstLine="480"/>
        <w:rPr>
          <w:rFonts w:hint="eastAsia"/>
          <w:sz w:val="24"/>
          <w:highlight w:val="none"/>
        </w:rPr>
      </w:pPr>
      <w:bookmarkStart w:id="11" w:name="_Toc28359004"/>
      <w:bookmarkStart w:id="12" w:name="_Toc28359081"/>
      <w:r>
        <w:rPr>
          <w:sz w:val="24"/>
          <w:highlight w:val="none"/>
        </w:rPr>
        <w:t>1.满足《中华人民共和国政府采购法》第二十二条规定</w:t>
      </w:r>
      <w:r>
        <w:rPr>
          <w:rFonts w:hint="eastAsia"/>
          <w:sz w:val="24"/>
          <w:highlight w:val="none"/>
        </w:rPr>
        <w:t>以及下列情形：</w:t>
      </w:r>
    </w:p>
    <w:p w14:paraId="0FB7D6EA">
      <w:pPr>
        <w:spacing w:line="360" w:lineRule="auto"/>
        <w:ind w:firstLine="480"/>
        <w:rPr>
          <w:sz w:val="24"/>
          <w:highlight w:val="none"/>
        </w:rPr>
      </w:pPr>
      <w:r>
        <w:rPr>
          <w:rFonts w:hint="eastAsia"/>
          <w:sz w:val="24"/>
          <w:highlight w:val="none"/>
        </w:rPr>
        <w:t>1.1未被“信用中国”网站（WWW.creditchina.gov.cn）或“中国政府采购网”网站（www.ccgp.gov.cn）列入失信被执行人、重大税收违法案件当事人名单、政府采购严重失信行为记录名单；</w:t>
      </w:r>
    </w:p>
    <w:p w14:paraId="34C252D7">
      <w:pPr>
        <w:spacing w:line="360" w:lineRule="auto"/>
        <w:ind w:firstLine="480"/>
        <w:rPr>
          <w:sz w:val="24"/>
          <w:highlight w:val="none"/>
        </w:rPr>
      </w:pPr>
      <w:r>
        <w:rPr>
          <w:sz w:val="24"/>
          <w:highlight w:val="none"/>
        </w:rPr>
        <w:t>2.落实政府采购政策需满足的资格要求：</w:t>
      </w:r>
    </w:p>
    <w:p w14:paraId="4594CA46">
      <w:pPr>
        <w:spacing w:line="360" w:lineRule="auto"/>
        <w:ind w:firstLine="480"/>
        <w:rPr>
          <w:sz w:val="24"/>
          <w:highlight w:val="none"/>
        </w:rPr>
      </w:pPr>
      <w:r>
        <w:rPr>
          <w:sz w:val="24"/>
          <w:highlight w:val="none"/>
        </w:rPr>
        <w:t>2.1 中小企业政策</w:t>
      </w:r>
    </w:p>
    <w:p w14:paraId="087A9DFA">
      <w:pPr>
        <w:spacing w:line="360" w:lineRule="auto"/>
        <w:ind w:firstLine="480"/>
        <w:rPr>
          <w:sz w:val="24"/>
          <w:highlight w:val="none"/>
        </w:rPr>
      </w:pPr>
      <w:r>
        <w:rPr>
          <w:rFonts w:hint="eastAsia"/>
          <w:sz w:val="24"/>
          <w:highlight w:val="none"/>
          <w:lang w:eastAsia="zh-CN"/>
        </w:rPr>
        <w:t>□</w:t>
      </w:r>
      <w:r>
        <w:rPr>
          <w:sz w:val="24"/>
          <w:highlight w:val="none"/>
        </w:rPr>
        <w:t>本项目不专门面向中小企业预留采购份额。</w:t>
      </w:r>
    </w:p>
    <w:p w14:paraId="0ECFDDC4">
      <w:pPr>
        <w:spacing w:line="360" w:lineRule="auto"/>
        <w:ind w:firstLine="480"/>
        <w:rPr>
          <w:sz w:val="24"/>
          <w:highlight w:val="none"/>
        </w:rPr>
      </w:pPr>
      <w:r>
        <w:rPr>
          <w:rFonts w:hint="eastAsia"/>
          <w:sz w:val="24"/>
          <w:highlight w:val="none"/>
          <w:lang w:eastAsia="zh-CN"/>
        </w:rPr>
        <w:t>☑</w:t>
      </w:r>
      <w:r>
        <w:rPr>
          <w:sz w:val="24"/>
          <w:highlight w:val="none"/>
        </w:rPr>
        <w:t xml:space="preserve">本项目专门面向  </w:t>
      </w:r>
      <w:r>
        <w:rPr>
          <w:rFonts w:hint="eastAsia"/>
          <w:sz w:val="24"/>
          <w:highlight w:val="none"/>
          <w:lang w:eastAsia="zh-CN"/>
        </w:rPr>
        <w:t>☑</w:t>
      </w:r>
      <w:r>
        <w:rPr>
          <w:sz w:val="24"/>
          <w:highlight w:val="none"/>
        </w:rPr>
        <w:t>中小 □小微企业  采购。即：提供的货物全部由符合政策要求的中小/小微企业制造、服务全部由符合政策要求的中小/小微企业承接。</w:t>
      </w:r>
    </w:p>
    <w:p w14:paraId="60C75D08">
      <w:pPr>
        <w:spacing w:line="360" w:lineRule="auto"/>
        <w:ind w:firstLine="480"/>
        <w:rPr>
          <w:sz w:val="24"/>
          <w:highlight w:val="none"/>
        </w:rPr>
      </w:pPr>
      <w:r>
        <w:rPr>
          <w:sz w:val="24"/>
          <w:highlight w:val="none"/>
        </w:rPr>
        <w:t>2.2 其它落实政府采购政策的资格要求（如有）：</w:t>
      </w:r>
      <w:r>
        <w:rPr>
          <w:rFonts w:hint="eastAsia"/>
          <w:sz w:val="24"/>
          <w:highlight w:val="none"/>
          <w:u w:val="single"/>
          <w:lang w:val="en-US" w:eastAsia="zh-CN"/>
        </w:rPr>
        <w:t xml:space="preserve"> 无  </w:t>
      </w:r>
      <w:r>
        <w:rPr>
          <w:sz w:val="24"/>
          <w:highlight w:val="none"/>
        </w:rPr>
        <w:t>。</w:t>
      </w:r>
    </w:p>
    <w:p w14:paraId="31CAD369">
      <w:pPr>
        <w:spacing w:line="360" w:lineRule="auto"/>
        <w:ind w:firstLine="480"/>
        <w:rPr>
          <w:i/>
          <w:iCs/>
          <w:sz w:val="24"/>
          <w:highlight w:val="none"/>
          <w:u w:val="single"/>
        </w:rPr>
      </w:pPr>
      <w:r>
        <w:rPr>
          <w:sz w:val="24"/>
          <w:highlight w:val="none"/>
        </w:rPr>
        <w:t>3.本项目的特定资格要求：</w:t>
      </w:r>
    </w:p>
    <w:p w14:paraId="7EB6A25F">
      <w:pPr>
        <w:tabs>
          <w:tab w:val="left" w:pos="900"/>
          <w:tab w:val="left" w:pos="1134"/>
          <w:tab w:val="left" w:pos="1589"/>
          <w:tab w:val="left" w:pos="5521"/>
        </w:tabs>
        <w:spacing w:line="360" w:lineRule="auto"/>
        <w:ind w:firstLine="480"/>
        <w:rPr>
          <w:i/>
          <w:sz w:val="24"/>
          <w:highlight w:val="none"/>
        </w:rPr>
      </w:pPr>
      <w:r>
        <w:rPr>
          <w:sz w:val="24"/>
          <w:highlight w:val="none"/>
        </w:rPr>
        <w:t xml:space="preserve">3.1本项目是否接受分支机构参与：□是   </w:t>
      </w:r>
      <w:r>
        <w:rPr>
          <w:rFonts w:hint="eastAsia"/>
          <w:sz w:val="24"/>
          <w:highlight w:val="none"/>
          <w:lang w:eastAsia="zh-CN"/>
        </w:rPr>
        <w:t>☑</w:t>
      </w:r>
      <w:r>
        <w:rPr>
          <w:sz w:val="24"/>
          <w:highlight w:val="none"/>
        </w:rPr>
        <w:t>否；</w:t>
      </w:r>
      <w:r>
        <w:rPr>
          <w:i/>
          <w:color w:val="FF0000"/>
          <w:sz w:val="24"/>
          <w:highlight w:val="none"/>
        </w:rPr>
        <w:t>（仅当项目涉及银行、保险、石油石化、电力、电信等行业有特殊情况的，可以接受分支机构参与）</w:t>
      </w:r>
    </w:p>
    <w:p w14:paraId="3A57D595">
      <w:pPr>
        <w:tabs>
          <w:tab w:val="left" w:pos="900"/>
          <w:tab w:val="left" w:pos="1134"/>
          <w:tab w:val="left" w:pos="1589"/>
          <w:tab w:val="left" w:pos="5521"/>
        </w:tabs>
        <w:spacing w:line="360" w:lineRule="auto"/>
        <w:ind w:firstLine="480"/>
        <w:rPr>
          <w:sz w:val="24"/>
          <w:highlight w:val="none"/>
        </w:rPr>
      </w:pPr>
      <w:r>
        <w:rPr>
          <w:sz w:val="24"/>
          <w:highlight w:val="none"/>
        </w:rPr>
        <w:t>3.2本项目是否属于政府购买服务：</w:t>
      </w:r>
    </w:p>
    <w:p w14:paraId="081C6414">
      <w:pPr>
        <w:tabs>
          <w:tab w:val="left" w:pos="900"/>
          <w:tab w:val="left" w:pos="1134"/>
          <w:tab w:val="left" w:pos="1589"/>
          <w:tab w:val="left" w:pos="5521"/>
        </w:tabs>
        <w:spacing w:line="360" w:lineRule="auto"/>
        <w:ind w:left="991" w:firstLine="2"/>
        <w:rPr>
          <w:sz w:val="24"/>
          <w:highlight w:val="none"/>
        </w:rPr>
      </w:pPr>
      <w:r>
        <w:rPr>
          <w:rFonts w:hint="eastAsia"/>
          <w:sz w:val="24"/>
          <w:highlight w:val="none"/>
          <w:lang w:eastAsia="zh-CN"/>
        </w:rPr>
        <w:t>□</w:t>
      </w:r>
      <w:r>
        <w:rPr>
          <w:sz w:val="24"/>
          <w:highlight w:val="none"/>
        </w:rPr>
        <w:t>否</w:t>
      </w:r>
    </w:p>
    <w:p w14:paraId="63EDA266">
      <w:pPr>
        <w:tabs>
          <w:tab w:val="left" w:pos="900"/>
          <w:tab w:val="left" w:pos="1134"/>
          <w:tab w:val="left" w:pos="1589"/>
          <w:tab w:val="left" w:pos="5521"/>
        </w:tabs>
        <w:spacing w:line="360" w:lineRule="auto"/>
        <w:ind w:left="991" w:firstLine="2"/>
        <w:rPr>
          <w:sz w:val="24"/>
          <w:highlight w:val="none"/>
        </w:rPr>
      </w:pPr>
      <w:r>
        <w:rPr>
          <w:rFonts w:hint="eastAsia"/>
          <w:sz w:val="24"/>
          <w:highlight w:val="none"/>
          <w:lang w:eastAsia="zh-CN"/>
        </w:rPr>
        <w:t>☑</w:t>
      </w:r>
      <w:r>
        <w:rPr>
          <w:sz w:val="24"/>
          <w:highlight w:val="none"/>
        </w:rPr>
        <w:t>是，公益一类事业单位、使用事业编制且由财政拨款保障的群团组织，不得作为承接主体；</w:t>
      </w:r>
    </w:p>
    <w:p w14:paraId="19BF0B49">
      <w:pPr>
        <w:tabs>
          <w:tab w:val="left" w:pos="900"/>
          <w:tab w:val="left" w:pos="1134"/>
          <w:tab w:val="left" w:pos="1589"/>
          <w:tab w:val="left" w:pos="5521"/>
        </w:tabs>
        <w:spacing w:line="360" w:lineRule="auto"/>
        <w:ind w:firstLine="480"/>
        <w:rPr>
          <w:i/>
          <w:iCs/>
          <w:sz w:val="24"/>
          <w:highlight w:val="none"/>
          <w:u w:val="single"/>
        </w:rPr>
      </w:pPr>
      <w:r>
        <w:rPr>
          <w:sz w:val="24"/>
          <w:highlight w:val="none"/>
        </w:rPr>
        <w:t>3.3 其他特定资格要求：</w:t>
      </w:r>
      <w:r>
        <w:rPr>
          <w:rFonts w:hint="eastAsia"/>
          <w:sz w:val="24"/>
          <w:highlight w:val="none"/>
          <w:lang w:val="en-US" w:eastAsia="zh-CN"/>
        </w:rPr>
        <w:t>/</w:t>
      </w:r>
      <w:r>
        <w:rPr>
          <w:sz w:val="24"/>
          <w:highlight w:val="none"/>
        </w:rPr>
        <w:t>。</w:t>
      </w:r>
    </w:p>
    <w:bookmarkEnd w:id="11"/>
    <w:bookmarkEnd w:id="12"/>
    <w:p w14:paraId="181B357D">
      <w:pPr>
        <w:pStyle w:val="185"/>
        <w:widowControl/>
        <w:spacing w:before="0" w:line="360" w:lineRule="auto"/>
        <w:jc w:val="left"/>
        <w:rPr>
          <w:rFonts w:ascii="Times New Roman" w:hAnsi="Times New Roman" w:eastAsia="宋体"/>
          <w:sz w:val="24"/>
          <w:szCs w:val="24"/>
          <w:highlight w:val="none"/>
        </w:rPr>
      </w:pPr>
      <w:bookmarkStart w:id="13" w:name="_Toc35393623"/>
      <w:bookmarkStart w:id="14" w:name="_Toc35393792"/>
      <w:r>
        <w:rPr>
          <w:rFonts w:ascii="Times New Roman" w:hAnsi="Times New Roman" w:eastAsia="宋体"/>
          <w:sz w:val="24"/>
          <w:szCs w:val="24"/>
          <w:highlight w:val="none"/>
        </w:rPr>
        <w:t>三、获取采购文件</w:t>
      </w:r>
      <w:bookmarkEnd w:id="13"/>
      <w:bookmarkEnd w:id="14"/>
    </w:p>
    <w:p w14:paraId="08278D4C">
      <w:pPr>
        <w:spacing w:line="360" w:lineRule="auto"/>
        <w:ind w:firstLine="480"/>
        <w:rPr>
          <w:sz w:val="24"/>
          <w:highlight w:val="none"/>
          <w:lang w:bidi="ar"/>
        </w:rPr>
      </w:pPr>
      <w:r>
        <w:rPr>
          <w:sz w:val="24"/>
          <w:highlight w:val="none"/>
          <w:lang w:bidi="ar"/>
        </w:rPr>
        <w:t>1.获取时间：</w:t>
      </w:r>
      <w:r>
        <w:rPr>
          <w:rFonts w:hint="eastAsia" w:ascii="Times New Roman" w:hAnsi="Times New Roman" w:eastAsia="宋体" w:cs="Times New Roman"/>
          <w:color w:val="000000" w:themeColor="text1"/>
          <w:sz w:val="24"/>
          <w:highlight w:val="none"/>
          <w:lang w:bidi="ar"/>
        </w:rPr>
        <w:t>自本公告发布之日</w:t>
      </w:r>
      <w:r>
        <w:rPr>
          <w:rFonts w:hint="eastAsia" w:ascii="Times New Roman" w:hAnsi="Times New Roman" w:eastAsia="宋体" w:cs="Times New Roman"/>
          <w:color w:val="000000" w:themeColor="text1"/>
          <w:sz w:val="24"/>
          <w:highlight w:val="none"/>
          <w:lang w:val="en-US" w:eastAsia="zh-CN" w:bidi="ar"/>
        </w:rPr>
        <w:t>起3个工作日</w:t>
      </w:r>
      <w:r>
        <w:rPr>
          <w:sz w:val="24"/>
          <w:highlight w:val="none"/>
          <w:lang w:bidi="ar"/>
        </w:rPr>
        <w:t>。</w:t>
      </w:r>
    </w:p>
    <w:p w14:paraId="60D01FC9">
      <w:pPr>
        <w:spacing w:line="360" w:lineRule="auto"/>
        <w:ind w:firstLine="480"/>
        <w:rPr>
          <w:rFonts w:ascii="Times New Roman" w:hAnsi="Times New Roman" w:eastAsia="宋体" w:cs="Times New Roman"/>
          <w:sz w:val="24"/>
          <w:highlight w:val="none"/>
          <w:lang w:bidi="ar"/>
        </w:rPr>
      </w:pPr>
      <w:bookmarkStart w:id="15" w:name="_Toc35393793"/>
      <w:bookmarkStart w:id="16" w:name="_Toc28359082"/>
      <w:bookmarkStart w:id="17" w:name="_Toc35393624"/>
      <w:bookmarkStart w:id="18" w:name="_Toc28359005"/>
      <w:r>
        <w:rPr>
          <w:rFonts w:ascii="Times New Roman" w:hAnsi="Times New Roman" w:eastAsia="宋体" w:cs="Times New Roman"/>
          <w:sz w:val="24"/>
          <w:highlight w:val="none"/>
          <w:lang w:bidi="ar"/>
        </w:rPr>
        <w:t>2.地点：</w:t>
      </w:r>
      <w:r>
        <w:rPr>
          <w:rFonts w:hint="eastAsia" w:ascii="Times New Roman" w:hAnsi="Times New Roman" w:eastAsia="宋体" w:cs="Times New Roman"/>
          <w:sz w:val="24"/>
          <w:highlight w:val="none"/>
          <w:lang w:val="en-US" w:eastAsia="zh-CN" w:bidi="ar"/>
        </w:rPr>
        <w:t>政府采购一体化平台“苏采云”系统</w:t>
      </w:r>
    </w:p>
    <w:p w14:paraId="05EF71E2">
      <w:pPr>
        <w:spacing w:line="360" w:lineRule="auto"/>
        <w:ind w:firstLine="480"/>
        <w:rPr>
          <w:rFonts w:hint="eastAsia" w:ascii="仿宋" w:hAnsi="仿宋" w:eastAsia="仿宋" w:cs="宋体"/>
          <w:sz w:val="28"/>
          <w:szCs w:val="28"/>
          <w:highlight w:val="none"/>
          <w:lang w:val="en-US" w:eastAsia="zh-CN"/>
        </w:rPr>
      </w:pPr>
      <w:r>
        <w:rPr>
          <w:rFonts w:ascii="Times New Roman" w:hAnsi="Times New Roman" w:eastAsia="宋体" w:cs="Times New Roman"/>
          <w:sz w:val="24"/>
          <w:highlight w:val="none"/>
          <w:lang w:bidi="ar"/>
        </w:rPr>
        <w:t>3.方式：</w:t>
      </w:r>
      <w:r>
        <w:rPr>
          <w:rFonts w:hint="eastAsia"/>
          <w:sz w:val="24"/>
          <w:highlight w:val="none"/>
          <w:lang w:bidi="ar"/>
        </w:rPr>
        <w:t>供应商完成注册并办理江苏政府采购专用CA证书后登录</w:t>
      </w:r>
      <w:r>
        <w:rPr>
          <w:rFonts w:hint="eastAsia"/>
          <w:b w:val="0"/>
          <w:bCs w:val="0"/>
          <w:sz w:val="24"/>
          <w:highlight w:val="none"/>
          <w:u w:val="single"/>
          <w:lang w:bidi="ar"/>
        </w:rPr>
        <w:t>“苏采云”政府采购一体化平台（http://jszfcg.jsczt.cn/jszc/login）</w:t>
      </w:r>
      <w:r>
        <w:rPr>
          <w:rFonts w:hint="eastAsia"/>
          <w:sz w:val="24"/>
          <w:highlight w:val="none"/>
          <w:lang w:bidi="ar"/>
        </w:rPr>
        <w:t>获取电子版</w:t>
      </w:r>
      <w:r>
        <w:rPr>
          <w:rFonts w:hint="eastAsia"/>
          <w:sz w:val="24"/>
          <w:highlight w:val="none"/>
          <w:lang w:eastAsia="zh-CN" w:bidi="ar"/>
        </w:rPr>
        <w:t>招标</w:t>
      </w:r>
      <w:r>
        <w:rPr>
          <w:rFonts w:hint="eastAsia"/>
          <w:sz w:val="24"/>
          <w:highlight w:val="none"/>
          <w:lang w:bidi="ar"/>
        </w:rPr>
        <w:t>文件。</w:t>
      </w:r>
    </w:p>
    <w:p w14:paraId="5B662D06">
      <w:pPr>
        <w:spacing w:line="360" w:lineRule="auto"/>
        <w:ind w:firstLine="480"/>
        <w:rPr>
          <w:rFonts w:hint="eastAsia" w:ascii="Times New Roman" w:hAnsi="Times New Roman" w:eastAsia="宋体" w:cs="Times New Roman"/>
          <w:sz w:val="24"/>
          <w:highlight w:val="none"/>
          <w:lang w:eastAsia="zh-CN" w:bidi="ar"/>
        </w:rPr>
      </w:pPr>
      <w:r>
        <w:rPr>
          <w:rFonts w:ascii="Times New Roman" w:hAnsi="Times New Roman" w:eastAsia="宋体" w:cs="Times New Roman"/>
          <w:sz w:val="24"/>
          <w:highlight w:val="none"/>
          <w:lang w:bidi="ar"/>
        </w:rPr>
        <w:t>4.售价：</w:t>
      </w:r>
      <w:r>
        <w:rPr>
          <w:rFonts w:hint="eastAsia" w:ascii="Times New Roman" w:hAnsi="Times New Roman" w:eastAsia="宋体" w:cs="Times New Roman"/>
          <w:sz w:val="24"/>
          <w:highlight w:val="none"/>
          <w:u w:val="single"/>
          <w:lang w:bidi="ar"/>
        </w:rPr>
        <w:t xml:space="preserve"> 0 </w:t>
      </w:r>
      <w:r>
        <w:rPr>
          <w:rFonts w:hint="eastAsia" w:ascii="Times New Roman" w:hAnsi="Times New Roman" w:eastAsia="宋体" w:cs="Times New Roman"/>
          <w:sz w:val="24"/>
          <w:highlight w:val="none"/>
          <w:lang w:bidi="ar"/>
        </w:rPr>
        <w:t>元</w:t>
      </w:r>
      <w:r>
        <w:rPr>
          <w:rFonts w:hint="eastAsia" w:ascii="Times New Roman" w:hAnsi="Times New Roman" w:eastAsia="宋体" w:cs="Times New Roman"/>
          <w:sz w:val="24"/>
          <w:highlight w:val="none"/>
          <w:lang w:eastAsia="zh-CN" w:bidi="ar"/>
        </w:rPr>
        <w:t>。</w:t>
      </w:r>
    </w:p>
    <w:p w14:paraId="63A2BC70">
      <w:pPr>
        <w:pStyle w:val="185"/>
        <w:widowControl/>
        <w:spacing w:before="0" w:line="360" w:lineRule="auto"/>
        <w:jc w:val="left"/>
        <w:rPr>
          <w:rFonts w:ascii="Times New Roman" w:hAnsi="Times New Roman" w:eastAsia="宋体"/>
          <w:sz w:val="24"/>
          <w:szCs w:val="24"/>
          <w:highlight w:val="none"/>
        </w:rPr>
      </w:pPr>
      <w:r>
        <w:rPr>
          <w:rFonts w:ascii="Times New Roman" w:hAnsi="Times New Roman" w:eastAsia="宋体"/>
          <w:sz w:val="24"/>
          <w:szCs w:val="24"/>
          <w:highlight w:val="none"/>
        </w:rPr>
        <w:t>四、</w:t>
      </w:r>
      <w:bookmarkEnd w:id="15"/>
      <w:bookmarkEnd w:id="16"/>
      <w:bookmarkEnd w:id="17"/>
      <w:bookmarkEnd w:id="18"/>
      <w:r>
        <w:rPr>
          <w:rFonts w:ascii="Times New Roman" w:hAnsi="Times New Roman" w:eastAsia="宋体"/>
          <w:sz w:val="24"/>
          <w:szCs w:val="24"/>
          <w:highlight w:val="none"/>
        </w:rPr>
        <w:t>响应文件提交</w:t>
      </w:r>
    </w:p>
    <w:p w14:paraId="2E870F91">
      <w:pPr>
        <w:spacing w:line="360" w:lineRule="auto"/>
        <w:ind w:firstLine="480"/>
        <w:rPr>
          <w:iCs/>
          <w:sz w:val="24"/>
          <w:highlight w:val="none"/>
          <w:lang w:bidi="ar"/>
        </w:rPr>
      </w:pPr>
      <w:r>
        <w:rPr>
          <w:sz w:val="24"/>
          <w:highlight w:val="none"/>
          <w:lang w:bidi="ar"/>
        </w:rPr>
        <w:t>截止时间：</w:t>
      </w:r>
      <w:r>
        <w:rPr>
          <w:rFonts w:hint="eastAsia"/>
          <w:sz w:val="24"/>
          <w:highlight w:val="none"/>
          <w:lang w:val="en-US" w:eastAsia="zh-CN" w:bidi="ar"/>
        </w:rPr>
        <w:t>2026</w:t>
      </w:r>
      <w:r>
        <w:rPr>
          <w:sz w:val="24"/>
          <w:highlight w:val="none"/>
          <w:lang w:bidi="ar"/>
        </w:rPr>
        <w:t>年</w:t>
      </w:r>
      <w:r>
        <w:rPr>
          <w:rFonts w:hint="eastAsia"/>
          <w:sz w:val="24"/>
          <w:highlight w:val="none"/>
          <w:u w:val="single"/>
          <w:lang w:val="en-US" w:eastAsia="zh-CN" w:bidi="ar"/>
        </w:rPr>
        <w:t>01</w:t>
      </w:r>
      <w:r>
        <w:rPr>
          <w:sz w:val="24"/>
          <w:highlight w:val="none"/>
          <w:lang w:bidi="ar"/>
        </w:rPr>
        <w:t>月</w:t>
      </w:r>
      <w:r>
        <w:rPr>
          <w:rFonts w:hint="eastAsia"/>
          <w:sz w:val="24"/>
          <w:highlight w:val="none"/>
          <w:u w:val="single"/>
          <w:lang w:val="en-US" w:eastAsia="zh-CN" w:bidi="ar"/>
        </w:rPr>
        <w:t xml:space="preserve"> 15 </w:t>
      </w:r>
      <w:r>
        <w:rPr>
          <w:sz w:val="24"/>
          <w:highlight w:val="none"/>
          <w:lang w:bidi="ar"/>
        </w:rPr>
        <w:t>日</w:t>
      </w:r>
      <w:r>
        <w:rPr>
          <w:rFonts w:hint="eastAsia"/>
          <w:sz w:val="24"/>
          <w:highlight w:val="none"/>
          <w:u w:val="single"/>
          <w:lang w:val="en-US" w:eastAsia="zh-CN" w:bidi="ar"/>
        </w:rPr>
        <w:t xml:space="preserve"> 14 </w:t>
      </w:r>
      <w:r>
        <w:rPr>
          <w:sz w:val="24"/>
          <w:highlight w:val="none"/>
          <w:lang w:bidi="ar"/>
        </w:rPr>
        <w:t>点</w:t>
      </w:r>
      <w:r>
        <w:rPr>
          <w:rFonts w:hint="eastAsia"/>
          <w:sz w:val="24"/>
          <w:highlight w:val="none"/>
          <w:u w:val="single"/>
          <w:lang w:val="en-US" w:eastAsia="zh-CN" w:bidi="ar"/>
        </w:rPr>
        <w:t xml:space="preserve"> 00 </w:t>
      </w:r>
      <w:r>
        <w:rPr>
          <w:sz w:val="24"/>
          <w:highlight w:val="none"/>
          <w:lang w:bidi="ar"/>
        </w:rPr>
        <w:t>分</w:t>
      </w:r>
      <w:r>
        <w:rPr>
          <w:bCs/>
          <w:sz w:val="24"/>
          <w:highlight w:val="none"/>
          <w:lang w:bidi="ar"/>
        </w:rPr>
        <w:t>（北京时间）</w:t>
      </w:r>
      <w:r>
        <w:rPr>
          <w:iCs/>
          <w:sz w:val="24"/>
          <w:highlight w:val="none"/>
          <w:lang w:bidi="ar"/>
        </w:rPr>
        <w:t>。</w:t>
      </w:r>
    </w:p>
    <w:p w14:paraId="20DC5081">
      <w:pPr>
        <w:spacing w:line="360" w:lineRule="auto"/>
        <w:ind w:firstLine="480"/>
        <w:rPr>
          <w:sz w:val="24"/>
          <w:highlight w:val="none"/>
          <w:lang w:val="zh-TW" w:bidi="ar"/>
        </w:rPr>
      </w:pPr>
      <w:r>
        <w:rPr>
          <w:sz w:val="24"/>
          <w:highlight w:val="none"/>
          <w:lang w:bidi="ar"/>
        </w:rPr>
        <w:t>地点：</w:t>
      </w:r>
      <w:r>
        <w:rPr>
          <w:rFonts w:hint="eastAsia" w:ascii="宋体" w:hAnsi="宋体"/>
          <w:sz w:val="24"/>
          <w:highlight w:val="none"/>
          <w:u w:val="single"/>
          <w:lang w:val="en-US" w:eastAsia="zh-CN"/>
        </w:rPr>
        <w:t>本项目采用不见面交易方式，无需到现场提交，响应人登录“苏采云”政府采购一体化平台供应商端，通过系统在线提交电子投标文件</w:t>
      </w:r>
      <w:r>
        <w:rPr>
          <w:sz w:val="24"/>
          <w:highlight w:val="none"/>
          <w:lang w:val="zh-TW" w:bidi="ar"/>
        </w:rPr>
        <w:t>。</w:t>
      </w:r>
    </w:p>
    <w:p w14:paraId="009618CF">
      <w:pPr>
        <w:pStyle w:val="185"/>
        <w:spacing w:before="0" w:line="360" w:lineRule="auto"/>
        <w:jc w:val="left"/>
        <w:rPr>
          <w:rFonts w:ascii="Times New Roman" w:hAnsi="Times New Roman" w:eastAsia="宋体"/>
          <w:sz w:val="24"/>
          <w:szCs w:val="24"/>
          <w:highlight w:val="none"/>
        </w:rPr>
      </w:pPr>
      <w:bookmarkStart w:id="19" w:name="_Toc35393795"/>
      <w:bookmarkStart w:id="20" w:name="_Toc35393626"/>
      <w:r>
        <w:rPr>
          <w:rFonts w:ascii="Times New Roman" w:hAnsi="Times New Roman" w:eastAsia="宋体"/>
          <w:sz w:val="24"/>
          <w:szCs w:val="24"/>
          <w:highlight w:val="none"/>
        </w:rPr>
        <w:t>五、其他补充事宜</w:t>
      </w:r>
      <w:bookmarkEnd w:id="19"/>
      <w:bookmarkEnd w:id="20"/>
    </w:p>
    <w:p w14:paraId="42284D36">
      <w:pPr>
        <w:spacing w:line="360" w:lineRule="auto"/>
        <w:ind w:firstLine="480" w:firstLineChars="200"/>
        <w:rPr>
          <w:rFonts w:ascii="Times New Roman" w:hAnsi="Times New Roman" w:eastAsia="宋体" w:cs="Times New Roman"/>
          <w:color w:val="000000" w:themeColor="text1"/>
          <w:sz w:val="24"/>
          <w:highlight w:val="none"/>
          <w:lang w:bidi="ar"/>
        </w:rPr>
      </w:pPr>
      <w:bookmarkStart w:id="21" w:name="_Toc35393796"/>
      <w:bookmarkStart w:id="22" w:name="_Toc28359085"/>
      <w:bookmarkStart w:id="23" w:name="_Toc28359008"/>
      <w:bookmarkStart w:id="24" w:name="_Toc35393627"/>
      <w:r>
        <w:rPr>
          <w:rFonts w:hint="eastAsia" w:ascii="Times New Roman" w:hAnsi="Times New Roman" w:eastAsia="宋体" w:cs="Times New Roman"/>
          <w:color w:val="000000" w:themeColor="text1"/>
          <w:kern w:val="2"/>
          <w:sz w:val="24"/>
          <w:szCs w:val="24"/>
          <w:highlight w:val="none"/>
          <w:lang w:val="en-US" w:eastAsia="zh-CN" w:bidi="ar"/>
        </w:rPr>
        <w:t>1</w:t>
      </w:r>
      <w:r>
        <w:rPr>
          <w:rFonts w:hint="eastAsia" w:ascii="Times New Roman" w:hAnsi="Times New Roman" w:eastAsia="宋体" w:cs="Times New Roman"/>
          <w:color w:val="000000" w:themeColor="text1"/>
          <w:sz w:val="24"/>
          <w:highlight w:val="none"/>
          <w:lang w:bidi="ar"/>
        </w:rPr>
        <w:t>．</w:t>
      </w:r>
      <w:r>
        <w:rPr>
          <w:rFonts w:hint="eastAsia" w:ascii="Times New Roman" w:hAnsi="Times New Roman" w:eastAsia="宋体" w:cs="Times New Roman"/>
          <w:color w:val="000000" w:themeColor="text1"/>
          <w:kern w:val="2"/>
          <w:sz w:val="24"/>
          <w:szCs w:val="24"/>
          <w:highlight w:val="none"/>
          <w:lang w:bidi="ar"/>
        </w:rPr>
        <w:t>CA办理注意事项：领取CA和办理电子签章请至常州市政务服务中心1-1号四楼大厅CA办理窗口办理，或者登录常州市政府采购网“下载中心”，下载并查阅 “江苏省政府采购数字证书CA及电子签章办理指南”。具体办理指南和操作手册见常州市政府采购网——《“苏采云”系统供应商操作手册》（以下简称《操作手册》），请根据办理指南进行注册并按《操作手册》要求制作、上传电子投标文件。</w:t>
      </w:r>
    </w:p>
    <w:p w14:paraId="1F26D64E">
      <w:pPr>
        <w:spacing w:line="360" w:lineRule="auto"/>
        <w:ind w:firstLine="480" w:firstLineChars="200"/>
        <w:rPr>
          <w:rFonts w:ascii="Times New Roman" w:hAnsi="Times New Roman" w:eastAsia="宋体" w:cs="Times New Roman"/>
          <w:color w:val="000000" w:themeColor="text1"/>
          <w:sz w:val="24"/>
          <w:highlight w:val="none"/>
          <w:lang w:bidi="ar"/>
        </w:rPr>
      </w:pPr>
      <w:r>
        <w:rPr>
          <w:rFonts w:hint="eastAsia" w:ascii="Times New Roman" w:hAnsi="Times New Roman" w:eastAsia="宋体" w:cs="Times New Roman"/>
          <w:color w:val="000000" w:themeColor="text1"/>
          <w:kern w:val="2"/>
          <w:sz w:val="24"/>
          <w:szCs w:val="24"/>
          <w:highlight w:val="none"/>
          <w:lang w:val="en-US" w:eastAsia="zh-CN" w:bidi="ar"/>
        </w:rPr>
        <w:t>2</w:t>
      </w:r>
      <w:r>
        <w:rPr>
          <w:rFonts w:hint="eastAsia" w:ascii="Times New Roman" w:hAnsi="Times New Roman" w:eastAsia="宋体" w:cs="Times New Roman"/>
          <w:color w:val="000000" w:themeColor="text1"/>
          <w:sz w:val="24"/>
          <w:highlight w:val="none"/>
          <w:lang w:bidi="ar"/>
        </w:rPr>
        <w:t>．</w:t>
      </w:r>
      <w:r>
        <w:rPr>
          <w:rFonts w:hint="eastAsia" w:ascii="Times New Roman" w:hAnsi="Times New Roman" w:eastAsia="宋体" w:cs="Times New Roman"/>
          <w:color w:val="000000" w:themeColor="text1"/>
          <w:kern w:val="2"/>
          <w:sz w:val="24"/>
          <w:szCs w:val="24"/>
          <w:highlight w:val="none"/>
          <w:lang w:bidi="ar"/>
        </w:rPr>
        <w:t>采购文件获取注意事项：本项目通过“苏采云”系统采用电子化不见面交易的模式，供应商通过“江苏政府采购网”、“常州市政府采购网”下载采购文件后，还必须登录“苏采云”系统下载电子采购文件方可通过系统进行响应文件的编制和提交。供应商登录江苏政府采购网，在网站首页点击“苏采云”→使用CA锁登录系统（新用户需进行“平台用户注册”）→“项目参与”进行登记，在“可参与项目”中选择“我要参与”，参与成功后到“已参与项目”界面中找到该项目下载文件并进行操作。</w:t>
      </w:r>
    </w:p>
    <w:p w14:paraId="2FF81EF7">
      <w:pPr>
        <w:spacing w:line="360" w:lineRule="auto"/>
        <w:ind w:firstLine="480" w:firstLineChars="200"/>
        <w:rPr>
          <w:rFonts w:hint="eastAsia" w:ascii="Times New Roman" w:hAnsi="Times New Roman" w:eastAsia="宋体" w:cs="Times New Roman"/>
          <w:color w:val="000000" w:themeColor="text1"/>
          <w:kern w:val="2"/>
          <w:sz w:val="24"/>
          <w:szCs w:val="24"/>
          <w:highlight w:val="none"/>
          <w:lang w:bidi="ar"/>
        </w:rPr>
      </w:pPr>
      <w:r>
        <w:rPr>
          <w:rFonts w:hint="eastAsia" w:ascii="Times New Roman" w:hAnsi="Times New Roman" w:eastAsia="宋体" w:cs="Times New Roman"/>
          <w:color w:val="000000" w:themeColor="text1"/>
          <w:kern w:val="2"/>
          <w:sz w:val="24"/>
          <w:szCs w:val="24"/>
          <w:highlight w:val="none"/>
          <w:lang w:val="en-US" w:eastAsia="zh-CN" w:bidi="ar"/>
        </w:rPr>
        <w:t>3</w:t>
      </w:r>
      <w:r>
        <w:rPr>
          <w:rFonts w:hint="eastAsia" w:ascii="Times New Roman" w:hAnsi="Times New Roman" w:eastAsia="宋体" w:cs="Times New Roman"/>
          <w:color w:val="000000" w:themeColor="text1"/>
          <w:sz w:val="24"/>
          <w:highlight w:val="none"/>
          <w:lang w:bidi="ar"/>
        </w:rPr>
        <w:t>．</w:t>
      </w:r>
      <w:r>
        <w:rPr>
          <w:rFonts w:hint="eastAsia" w:ascii="Times New Roman" w:hAnsi="Times New Roman" w:eastAsia="宋体" w:cs="Times New Roman"/>
          <w:color w:val="000000" w:themeColor="text1"/>
          <w:kern w:val="2"/>
          <w:sz w:val="24"/>
          <w:szCs w:val="24"/>
          <w:highlight w:val="none"/>
          <w:lang w:bidi="ar"/>
        </w:rPr>
        <w:t>关于常州市中小企业政府采购信用融资：根据《常州市财政局 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供应商提供相应额度贷款的融资模式。申请条件及操作流程等事项详见该文件相关内容或者常州市政府采购网--政采融资平台栏目。</w:t>
      </w:r>
    </w:p>
    <w:p w14:paraId="09F1A105">
      <w:pPr>
        <w:spacing w:line="360" w:lineRule="auto"/>
        <w:ind w:firstLine="480" w:firstLineChars="200"/>
        <w:rPr>
          <w:rFonts w:hint="eastAsia" w:ascii="Times New Roman" w:hAnsi="Times New Roman" w:eastAsia="宋体" w:cs="Times New Roman"/>
          <w:color w:val="000000" w:themeColor="text1"/>
          <w:kern w:val="2"/>
          <w:sz w:val="24"/>
          <w:szCs w:val="24"/>
          <w:highlight w:val="none"/>
          <w:lang w:val="en-US" w:eastAsia="zh-CN" w:bidi="ar"/>
        </w:rPr>
      </w:pPr>
      <w:r>
        <w:rPr>
          <w:rFonts w:hint="eastAsia" w:ascii="Times New Roman" w:hAnsi="Times New Roman" w:eastAsia="宋体" w:cs="Times New Roman"/>
          <w:color w:val="000000" w:themeColor="text1"/>
          <w:kern w:val="2"/>
          <w:sz w:val="24"/>
          <w:szCs w:val="24"/>
          <w:highlight w:val="none"/>
          <w:lang w:val="en-US" w:eastAsia="zh-CN" w:bidi="ar"/>
        </w:rPr>
        <w:t>4.关于江苏省政府采购履约验收管理办法：根据《关于印发江苏省政府采购履约验收管理办法的通知》（苏财规[2024]7号）</w:t>
      </w:r>
      <w:r>
        <w:rPr>
          <w:rFonts w:hint="eastAsia" w:ascii="Times New Roman" w:hAnsi="Times New Roman" w:eastAsia="宋体" w:cs="Times New Roman"/>
          <w:color w:val="000000" w:themeColor="text1"/>
          <w:kern w:val="2"/>
          <w:sz w:val="24"/>
          <w:szCs w:val="24"/>
          <w:highlight w:val="none"/>
          <w:lang w:bidi="ar"/>
        </w:rPr>
        <w:t>等有关文件精神</w:t>
      </w:r>
      <w:r>
        <w:rPr>
          <w:rFonts w:hint="eastAsia" w:ascii="Times New Roman" w:hAnsi="Times New Roman" w:eastAsia="宋体" w:cs="Times New Roman"/>
          <w:color w:val="000000" w:themeColor="text1"/>
          <w:kern w:val="2"/>
          <w:sz w:val="24"/>
          <w:szCs w:val="24"/>
          <w:highlight w:val="none"/>
          <w:lang w:eastAsia="zh-CN" w:bidi="ar"/>
        </w:rPr>
        <w:t>执行。</w:t>
      </w:r>
    </w:p>
    <w:p w14:paraId="58C2D918">
      <w:pPr>
        <w:pStyle w:val="185"/>
        <w:spacing w:before="0" w:line="360" w:lineRule="auto"/>
        <w:jc w:val="left"/>
        <w:rPr>
          <w:rFonts w:ascii="Times New Roman" w:hAnsi="Times New Roman" w:eastAsia="宋体"/>
          <w:sz w:val="24"/>
          <w:szCs w:val="24"/>
        </w:rPr>
      </w:pPr>
      <w:r>
        <w:rPr>
          <w:rFonts w:ascii="Times New Roman" w:hAnsi="Times New Roman" w:eastAsia="宋体"/>
          <w:sz w:val="24"/>
          <w:szCs w:val="24"/>
        </w:rPr>
        <w:t>七、对本次采购提出询问，请按以下方式联系。</w:t>
      </w:r>
      <w:bookmarkEnd w:id="21"/>
      <w:bookmarkEnd w:id="22"/>
      <w:bookmarkEnd w:id="23"/>
      <w:bookmarkEnd w:id="24"/>
    </w:p>
    <w:p w14:paraId="7A27C0C4">
      <w:pPr>
        <w:widowControl/>
        <w:spacing w:line="360" w:lineRule="auto"/>
        <w:jc w:val="left"/>
        <w:rPr>
          <w:b/>
          <w:sz w:val="24"/>
        </w:rPr>
      </w:pPr>
      <w:r>
        <w:rPr>
          <w:sz w:val="24"/>
        </w:rPr>
        <w:t>　　　</w:t>
      </w:r>
      <w:r>
        <w:rPr>
          <w:b/>
          <w:sz w:val="24"/>
        </w:rPr>
        <w:t>1.采购人信息</w:t>
      </w:r>
    </w:p>
    <w:p w14:paraId="0DC13A5A">
      <w:pPr>
        <w:spacing w:line="360" w:lineRule="auto"/>
        <w:ind w:left="1079" w:hanging="300"/>
        <w:jc w:val="left"/>
        <w:rPr>
          <w:sz w:val="24"/>
        </w:rPr>
      </w:pPr>
      <w:bookmarkStart w:id="25" w:name="_Toc28359086"/>
      <w:bookmarkStart w:id="26" w:name="_Toc28359009"/>
      <w:r>
        <w:rPr>
          <w:sz w:val="24"/>
        </w:rPr>
        <w:t>名    称：</w:t>
      </w:r>
      <w:r>
        <w:rPr>
          <w:rFonts w:hint="eastAsia"/>
          <w:sz w:val="24"/>
          <w:u w:val="single"/>
          <w:lang w:eastAsia="zh-CN"/>
        </w:rPr>
        <w:t>常州市金坛区儒林镇人民政府</w:t>
      </w:r>
    </w:p>
    <w:p w14:paraId="33F7790F">
      <w:pPr>
        <w:spacing w:line="360" w:lineRule="auto"/>
        <w:ind w:left="1079" w:hanging="300"/>
        <w:jc w:val="left"/>
        <w:rPr>
          <w:rFonts w:hint="eastAsia" w:eastAsia="宋体"/>
          <w:sz w:val="24"/>
          <w:lang w:eastAsia="zh-CN"/>
        </w:rPr>
      </w:pPr>
      <w:r>
        <w:rPr>
          <w:sz w:val="24"/>
        </w:rPr>
        <w:t>地    址：</w:t>
      </w:r>
      <w:r>
        <w:rPr>
          <w:rFonts w:hint="eastAsia"/>
          <w:sz w:val="24"/>
          <w:u w:val="single"/>
        </w:rPr>
        <w:t>常州市金坛区</w:t>
      </w:r>
      <w:r>
        <w:rPr>
          <w:rFonts w:hint="eastAsia"/>
          <w:sz w:val="24"/>
          <w:u w:val="single"/>
          <w:lang w:val="en-US" w:eastAsia="zh-CN"/>
        </w:rPr>
        <w:t xml:space="preserve"> </w:t>
      </w:r>
    </w:p>
    <w:p w14:paraId="0ED070F6">
      <w:pPr>
        <w:spacing w:line="360" w:lineRule="auto"/>
        <w:ind w:left="1079" w:hanging="300"/>
        <w:jc w:val="left"/>
        <w:rPr>
          <w:rFonts w:hint="eastAsia" w:eastAsia="宋体"/>
          <w:sz w:val="24"/>
          <w:u w:val="single"/>
          <w:lang w:eastAsia="zh-CN"/>
        </w:rPr>
      </w:pPr>
      <w:r>
        <w:rPr>
          <w:sz w:val="24"/>
        </w:rPr>
        <w:t>联系方式：</w:t>
      </w:r>
      <w:r>
        <w:rPr>
          <w:rFonts w:hint="eastAsia"/>
          <w:sz w:val="24"/>
          <w:u w:val="single"/>
        </w:rPr>
        <w:t>0519-82565935</w:t>
      </w:r>
      <w:r>
        <w:rPr>
          <w:rFonts w:hint="eastAsia"/>
          <w:sz w:val="24"/>
          <w:u w:val="single"/>
          <w:lang w:val="en-US" w:eastAsia="zh-CN"/>
        </w:rPr>
        <w:t xml:space="preserve"> </w:t>
      </w:r>
    </w:p>
    <w:p w14:paraId="46E72102">
      <w:pPr>
        <w:spacing w:line="360" w:lineRule="auto"/>
        <w:ind w:left="1080" w:hanging="301"/>
        <w:jc w:val="left"/>
        <w:rPr>
          <w:b/>
          <w:sz w:val="24"/>
        </w:rPr>
      </w:pPr>
      <w:r>
        <w:rPr>
          <w:b/>
          <w:sz w:val="24"/>
        </w:rPr>
        <w:t>2.采购代理机构信息</w:t>
      </w:r>
      <w:bookmarkEnd w:id="25"/>
      <w:bookmarkEnd w:id="26"/>
    </w:p>
    <w:p w14:paraId="4FA0AB62">
      <w:pPr>
        <w:spacing w:line="360" w:lineRule="auto"/>
        <w:ind w:left="1079" w:hanging="300"/>
        <w:jc w:val="left"/>
        <w:rPr>
          <w:rFonts w:eastAsia="宋体"/>
          <w:sz w:val="24"/>
          <w:lang w:val="en-US" w:eastAsia="zh-CN"/>
        </w:rPr>
      </w:pPr>
      <w:bookmarkStart w:id="27" w:name="_Toc28359010"/>
      <w:bookmarkStart w:id="28" w:name="_Toc28359087"/>
      <w:r>
        <w:rPr>
          <w:sz w:val="24"/>
        </w:rPr>
        <w:t>名    称：</w:t>
      </w:r>
      <w:r>
        <w:rPr>
          <w:rFonts w:hint="eastAsia" w:cs="Times New Roman"/>
          <w:sz w:val="24"/>
          <w:u w:val="single"/>
          <w:lang w:val="en-US" w:eastAsia="zh-CN"/>
        </w:rPr>
        <w:t>江苏华溯工程项目管理有限公司</w:t>
      </w:r>
    </w:p>
    <w:p w14:paraId="1B94BB4C">
      <w:pPr>
        <w:spacing w:line="360" w:lineRule="auto"/>
        <w:ind w:left="1079" w:hanging="300"/>
        <w:jc w:val="left"/>
        <w:rPr>
          <w:rFonts w:eastAsia="宋体"/>
          <w:sz w:val="24"/>
          <w:lang w:val="en-US" w:eastAsia="zh-CN"/>
        </w:rPr>
      </w:pPr>
      <w:r>
        <w:rPr>
          <w:sz w:val="24"/>
        </w:rPr>
        <w:t>地    址：</w:t>
      </w:r>
      <w:r>
        <w:rPr>
          <w:rFonts w:hint="eastAsia" w:ascii="Times New Roman" w:hAnsi="Times New Roman" w:eastAsia="宋体" w:cs="Times New Roman"/>
          <w:sz w:val="24"/>
          <w:u w:val="single"/>
          <w:lang w:val="en-US" w:eastAsia="zh-CN"/>
        </w:rPr>
        <w:t>常州市金坛区</w:t>
      </w:r>
      <w:r>
        <w:rPr>
          <w:rFonts w:hint="eastAsia" w:cs="Times New Roman"/>
          <w:sz w:val="24"/>
          <w:u w:val="single"/>
          <w:lang w:val="en-US" w:eastAsia="zh-CN"/>
        </w:rPr>
        <w:t>金胜东路19</w:t>
      </w:r>
      <w:r>
        <w:rPr>
          <w:rFonts w:hint="eastAsia" w:ascii="Times New Roman" w:hAnsi="Times New Roman" w:eastAsia="宋体" w:cs="Times New Roman"/>
          <w:sz w:val="24"/>
          <w:u w:val="single"/>
          <w:lang w:val="en-US" w:eastAsia="zh-CN"/>
        </w:rPr>
        <w:t>号</w:t>
      </w:r>
    </w:p>
    <w:p w14:paraId="7A3E7351">
      <w:pPr>
        <w:spacing w:line="360" w:lineRule="auto"/>
        <w:ind w:left="1079" w:hanging="300"/>
        <w:jc w:val="left"/>
        <w:rPr>
          <w:rFonts w:eastAsia="宋体"/>
          <w:sz w:val="24"/>
          <w:u w:val="single"/>
          <w:lang w:val="en-US" w:eastAsia="zh-CN"/>
        </w:rPr>
      </w:pPr>
      <w:r>
        <w:rPr>
          <w:sz w:val="24"/>
        </w:rPr>
        <w:t>联系方式：</w:t>
      </w:r>
      <w:r>
        <w:rPr>
          <w:rFonts w:hint="eastAsia"/>
          <w:sz w:val="24"/>
          <w:highlight w:val="none"/>
          <w:u w:val="single"/>
        </w:rPr>
        <w:t>0519-82</w:t>
      </w:r>
      <w:r>
        <w:rPr>
          <w:rFonts w:hint="eastAsia" w:ascii="Times New Roman" w:eastAsia="宋体"/>
          <w:sz w:val="24"/>
          <w:highlight w:val="none"/>
          <w:u w:val="single"/>
          <w:lang w:val="en-US" w:eastAsia="zh-CN"/>
        </w:rPr>
        <w:t>807908</w:t>
      </w:r>
    </w:p>
    <w:p w14:paraId="51B57016">
      <w:pPr>
        <w:spacing w:line="360" w:lineRule="auto"/>
        <w:ind w:firstLine="723"/>
        <w:rPr>
          <w:b/>
          <w:sz w:val="24"/>
          <w:u w:val="single"/>
        </w:rPr>
      </w:pPr>
      <w:r>
        <w:rPr>
          <w:b/>
          <w:sz w:val="24"/>
        </w:rPr>
        <w:t>3.项目联系方式</w:t>
      </w:r>
      <w:bookmarkEnd w:id="27"/>
      <w:bookmarkEnd w:id="28"/>
    </w:p>
    <w:p w14:paraId="7F285507">
      <w:pPr>
        <w:pStyle w:val="224"/>
        <w:spacing w:line="360" w:lineRule="auto"/>
        <w:ind w:firstLine="720"/>
        <w:rPr>
          <w:rFonts w:hint="eastAsia" w:ascii="Times New Roman" w:hAnsi="Times New Roman" w:eastAsia="宋体"/>
          <w:sz w:val="24"/>
          <w:szCs w:val="24"/>
          <w:lang w:val="en-US" w:eastAsia="zh-CN"/>
        </w:rPr>
      </w:pPr>
      <w:r>
        <w:rPr>
          <w:rFonts w:ascii="Times New Roman" w:hAnsi="Times New Roman"/>
          <w:sz w:val="24"/>
          <w:szCs w:val="24"/>
        </w:rPr>
        <w:t>项目联系人：</w:t>
      </w:r>
      <w:r>
        <w:rPr>
          <w:rFonts w:hint="eastAsia" w:ascii="Times New Roman" w:hAnsi="Times New Roman" w:cs="Times New Roman"/>
          <w:sz w:val="24"/>
          <w:szCs w:val="24"/>
          <w:u w:val="single"/>
          <w:lang w:val="en-US" w:eastAsia="zh-CN" w:bidi="ar-SA"/>
        </w:rPr>
        <w:t>刘园</w:t>
      </w:r>
    </w:p>
    <w:p w14:paraId="18596FAD">
      <w:pPr>
        <w:pStyle w:val="224"/>
        <w:spacing w:line="360" w:lineRule="auto"/>
        <w:ind w:firstLine="720"/>
        <w:rPr>
          <w:rFonts w:ascii="Times New Roman" w:hAnsi="Times New Roman"/>
          <w:sz w:val="24"/>
          <w:szCs w:val="24"/>
          <w:lang w:val="en-US"/>
        </w:rPr>
      </w:pPr>
      <w:r>
        <w:rPr>
          <w:rFonts w:ascii="Times New Roman" w:hAnsi="Times New Roman"/>
          <w:sz w:val="24"/>
        </w:rPr>
        <w:t>电      话：</w:t>
      </w:r>
      <w:r>
        <w:rPr>
          <w:rFonts w:hint="eastAsia"/>
          <w:sz w:val="24"/>
          <w:highlight w:val="none"/>
          <w:u w:val="single"/>
        </w:rPr>
        <w:t>0519-82</w:t>
      </w:r>
      <w:r>
        <w:rPr>
          <w:rFonts w:hint="eastAsia" w:ascii="Times New Roman" w:eastAsia="宋体"/>
          <w:sz w:val="24"/>
          <w:highlight w:val="none"/>
          <w:u w:val="single"/>
          <w:lang w:val="en-US" w:eastAsia="zh-CN"/>
        </w:rPr>
        <w:t>807908</w:t>
      </w:r>
    </w:p>
    <w:p w14:paraId="7D1C1964">
      <w:pPr>
        <w:spacing w:line="360" w:lineRule="auto"/>
        <w:ind w:firstLine="5880"/>
        <w:jc w:val="right"/>
        <w:rPr>
          <w:sz w:val="24"/>
        </w:rPr>
      </w:pPr>
    </w:p>
    <w:p w14:paraId="004F633A">
      <w:pPr>
        <w:spacing w:line="360" w:lineRule="auto"/>
        <w:jc w:val="center"/>
        <w:outlineLvl w:val="0"/>
        <w:rPr>
          <w:b/>
          <w:sz w:val="32"/>
          <w:szCs w:val="32"/>
        </w:rPr>
      </w:pPr>
      <w:r>
        <w:rPr>
          <w:sz w:val="24"/>
        </w:rPr>
        <w:br w:type="page" w:clear="all"/>
      </w:r>
      <w:bookmarkStart w:id="29" w:name="_Toc99301280"/>
      <w:bookmarkStart w:id="30" w:name="_Toc127151777"/>
      <w:bookmarkStart w:id="31" w:name="_Toc353825548"/>
      <w:bookmarkStart w:id="32" w:name="_Toc264969275"/>
      <w:bookmarkStart w:id="33" w:name="_Toc226965856"/>
      <w:bookmarkStart w:id="34" w:name="_Toc305158928"/>
      <w:bookmarkStart w:id="35" w:name="_Toc265228423"/>
      <w:bookmarkStart w:id="36" w:name="_Toc195842950"/>
      <w:bookmarkStart w:id="37" w:name="_Toc353873938"/>
      <w:bookmarkStart w:id="38" w:name="_Toc127161488"/>
      <w:bookmarkStart w:id="39" w:name="_Toc305158854"/>
      <w:bookmarkStart w:id="40" w:name="_Toc150774783"/>
      <w:bookmarkStart w:id="41" w:name="_Toc512937850"/>
      <w:r>
        <w:rPr>
          <w:b/>
          <w:sz w:val="36"/>
          <w:szCs w:val="36"/>
        </w:rPr>
        <w:t>第二章   供应商须知</w:t>
      </w:r>
      <w:bookmarkEnd w:id="29"/>
      <w:bookmarkEnd w:id="30"/>
      <w:bookmarkEnd w:id="31"/>
      <w:bookmarkEnd w:id="32"/>
      <w:bookmarkEnd w:id="33"/>
      <w:bookmarkEnd w:id="34"/>
      <w:bookmarkEnd w:id="35"/>
      <w:bookmarkEnd w:id="36"/>
      <w:bookmarkEnd w:id="37"/>
      <w:bookmarkEnd w:id="38"/>
      <w:bookmarkEnd w:id="39"/>
      <w:bookmarkEnd w:id="40"/>
      <w:bookmarkEnd w:id="41"/>
    </w:p>
    <w:p w14:paraId="40160448">
      <w:pPr>
        <w:pStyle w:val="185"/>
        <w:tabs>
          <w:tab w:val="center" w:pos="4592"/>
          <w:tab w:val="left" w:pos="7860"/>
        </w:tabs>
        <w:spacing w:before="0" w:line="360" w:lineRule="auto"/>
        <w:rPr>
          <w:rFonts w:ascii="Times New Roman" w:hAnsi="Times New Roman" w:eastAsia="宋体"/>
          <w:sz w:val="28"/>
        </w:rPr>
      </w:pPr>
      <w:bookmarkStart w:id="42" w:name="_Toc520356144"/>
      <w:bookmarkStart w:id="43" w:name="_Toc151193907"/>
      <w:bookmarkStart w:id="44" w:name="_Toc127151720"/>
      <w:bookmarkStart w:id="45" w:name="_Toc151193689"/>
      <w:bookmarkStart w:id="46" w:name="_Toc164229360"/>
      <w:bookmarkStart w:id="47" w:name="_Toc164229214"/>
      <w:bookmarkStart w:id="48" w:name="_Toc150774724"/>
      <w:bookmarkStart w:id="49" w:name="_Toc151193617"/>
      <w:bookmarkStart w:id="50" w:name="_Toc151193761"/>
      <w:bookmarkStart w:id="51" w:name="_Toc164351613"/>
      <w:bookmarkStart w:id="52" w:name="_Toc150480757"/>
      <w:bookmarkStart w:id="53" w:name="_Toc164608633"/>
      <w:bookmarkStart w:id="54" w:name="_Toc226965709"/>
      <w:bookmarkStart w:id="55" w:name="_Toc150509270"/>
      <w:bookmarkStart w:id="56" w:name="_Toc127161433"/>
      <w:bookmarkStart w:id="57" w:name="_Toc195842884"/>
      <w:bookmarkStart w:id="58" w:name="_Toc226337215"/>
      <w:bookmarkStart w:id="59" w:name="_Toc127151519"/>
      <w:bookmarkStart w:id="60" w:name="_Toc151190146"/>
      <w:bookmarkStart w:id="61" w:name="_Toc226309763"/>
      <w:bookmarkStart w:id="62" w:name="_Toc150774619"/>
      <w:bookmarkStart w:id="63" w:name="_Toc164608788"/>
      <w:bookmarkStart w:id="64" w:name="_Toc151193833"/>
      <w:bookmarkStart w:id="65" w:name="_Toc149720812"/>
      <w:bookmarkStart w:id="66" w:name="_Toc226965792"/>
      <w:bookmarkStart w:id="67" w:name="_Toc142311021"/>
      <w:r>
        <w:rPr>
          <w:rFonts w:ascii="Times New Roman" w:hAnsi="Times New Roman" w:eastAsia="宋体"/>
          <w:sz w:val="28"/>
        </w:rPr>
        <w:t>供应商须知资料表</w:t>
      </w:r>
    </w:p>
    <w:p w14:paraId="5B2E8088">
      <w:pPr>
        <w:jc w:val="center"/>
        <w:rPr>
          <w:b/>
          <w:sz w:val="28"/>
          <w:szCs w:val="28"/>
        </w:rPr>
      </w:pPr>
    </w:p>
    <w:p w14:paraId="58DA4E5E">
      <w:pPr>
        <w:spacing w:line="360" w:lineRule="auto"/>
        <w:ind w:firstLine="480"/>
        <w:rPr>
          <w:sz w:val="24"/>
        </w:rPr>
      </w:pPr>
      <w:r>
        <w:rPr>
          <w:sz w:val="24"/>
        </w:rPr>
        <w:t>本表是对供应商须知的具体补充和修改，如有矛盾，均以本资料表为准。标记</w:t>
      </w:r>
      <w:r>
        <w:rPr>
          <w:color w:val="000000"/>
          <w:sz w:val="24"/>
        </w:rPr>
        <w:t>“</w:t>
      </w:r>
      <w:r>
        <w:rPr>
          <w:b/>
          <w:color w:val="000000"/>
          <w:sz w:val="24"/>
        </w:rPr>
        <w:t>■</w:t>
      </w:r>
      <w:r>
        <w:rPr>
          <w:color w:val="000000"/>
          <w:sz w:val="24"/>
        </w:rPr>
        <w:t>”</w:t>
      </w:r>
      <w:r>
        <w:rPr>
          <w:sz w:val="24"/>
        </w:rPr>
        <w:t>的选项意为适用于本项目，标记“□”的选项意为不适用于本项目。</w:t>
      </w:r>
    </w:p>
    <w:tbl>
      <w:tblPr>
        <w:tblStyle w:val="30"/>
        <w:tblW w:w="994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988"/>
        <w:gridCol w:w="1701"/>
        <w:gridCol w:w="7253"/>
      </w:tblGrid>
      <w:tr w14:paraId="4D51C5C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94" w:hRule="atLeast"/>
          <w:tblHeader/>
          <w:jc w:val="center"/>
        </w:trPr>
        <w:tc>
          <w:tcPr>
            <w:tcW w:w="988" w:type="dxa"/>
            <w:noWrap w:val="0"/>
            <w:vAlign w:val="center"/>
          </w:tcPr>
          <w:p w14:paraId="5924A95A">
            <w:pPr>
              <w:jc w:val="center"/>
              <w:rPr>
                <w:b/>
                <w:bCs/>
                <w:sz w:val="24"/>
              </w:rPr>
            </w:pPr>
            <w:r>
              <w:rPr>
                <w:b/>
                <w:sz w:val="24"/>
              </w:rPr>
              <w:t>条款号</w:t>
            </w:r>
          </w:p>
        </w:tc>
        <w:tc>
          <w:tcPr>
            <w:tcW w:w="1701" w:type="dxa"/>
            <w:noWrap w:val="0"/>
            <w:vAlign w:val="center"/>
          </w:tcPr>
          <w:p w14:paraId="406AF956">
            <w:pPr>
              <w:jc w:val="center"/>
              <w:rPr>
                <w:b/>
                <w:bCs/>
                <w:sz w:val="24"/>
              </w:rPr>
            </w:pPr>
            <w:r>
              <w:rPr>
                <w:b/>
                <w:bCs/>
                <w:sz w:val="24"/>
              </w:rPr>
              <w:t>条目</w:t>
            </w:r>
          </w:p>
        </w:tc>
        <w:tc>
          <w:tcPr>
            <w:tcW w:w="7253" w:type="dxa"/>
            <w:noWrap w:val="0"/>
            <w:vAlign w:val="center"/>
          </w:tcPr>
          <w:p w14:paraId="3CFF4101">
            <w:pPr>
              <w:jc w:val="center"/>
              <w:rPr>
                <w:b/>
                <w:bCs/>
                <w:sz w:val="24"/>
              </w:rPr>
            </w:pPr>
            <w:r>
              <w:rPr>
                <w:b/>
                <w:bCs/>
                <w:sz w:val="24"/>
              </w:rPr>
              <w:t>内容</w:t>
            </w:r>
          </w:p>
        </w:tc>
      </w:tr>
      <w:tr w14:paraId="57668AE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jc w:val="center"/>
        </w:trPr>
        <w:tc>
          <w:tcPr>
            <w:tcW w:w="988" w:type="dxa"/>
            <w:noWrap w:val="0"/>
            <w:vAlign w:val="center"/>
          </w:tcPr>
          <w:p w14:paraId="7E801481">
            <w:pPr>
              <w:pStyle w:val="224"/>
              <w:jc w:val="center"/>
              <w:rPr>
                <w:rFonts w:hint="eastAsia" w:ascii="Times New Roman" w:hAnsi="Times New Roman" w:eastAsia="宋体"/>
                <w:sz w:val="24"/>
                <w:szCs w:val="24"/>
                <w:lang w:eastAsia="zh-CN"/>
              </w:rPr>
            </w:pPr>
            <w:r>
              <w:rPr>
                <w:rFonts w:hint="eastAsia" w:ascii="Times New Roman" w:hAnsi="Times New Roman"/>
                <w:sz w:val="24"/>
                <w:szCs w:val="24"/>
                <w:lang w:val="en-US" w:eastAsia="zh-CN"/>
              </w:rPr>
              <w:t>1</w:t>
            </w:r>
          </w:p>
        </w:tc>
        <w:tc>
          <w:tcPr>
            <w:tcW w:w="1701" w:type="dxa"/>
            <w:noWrap w:val="0"/>
            <w:vAlign w:val="center"/>
          </w:tcPr>
          <w:p w14:paraId="4992228C">
            <w:pPr>
              <w:jc w:val="center"/>
              <w:rPr>
                <w:sz w:val="24"/>
              </w:rPr>
            </w:pPr>
            <w:r>
              <w:rPr>
                <w:sz w:val="24"/>
              </w:rPr>
              <w:t>科研仪器设备</w:t>
            </w:r>
          </w:p>
        </w:tc>
        <w:tc>
          <w:tcPr>
            <w:tcW w:w="7253" w:type="dxa"/>
            <w:noWrap w:val="0"/>
            <w:vAlign w:val="center"/>
          </w:tcPr>
          <w:p w14:paraId="69316A43">
            <w:pPr>
              <w:jc w:val="left"/>
              <w:rPr>
                <w:sz w:val="24"/>
              </w:rPr>
            </w:pPr>
            <w:r>
              <w:rPr>
                <w:sz w:val="24"/>
              </w:rPr>
              <w:t>是否属于科研仪器设备采购项目：</w:t>
            </w:r>
          </w:p>
          <w:p w14:paraId="0D446FB6">
            <w:pPr>
              <w:jc w:val="left"/>
              <w:rPr>
                <w:sz w:val="24"/>
              </w:rPr>
            </w:pPr>
            <w:r>
              <w:rPr>
                <w:sz w:val="24"/>
              </w:rPr>
              <w:t>□是</w:t>
            </w:r>
          </w:p>
          <w:p w14:paraId="7A651AFB">
            <w:pPr>
              <w:jc w:val="left"/>
              <w:rPr>
                <w:sz w:val="24"/>
              </w:rPr>
            </w:pPr>
            <w:r>
              <w:rPr>
                <w:rFonts w:hint="eastAsia"/>
                <w:sz w:val="24"/>
                <w:lang w:eastAsia="zh-CN"/>
              </w:rPr>
              <w:t>☑</w:t>
            </w:r>
            <w:r>
              <w:rPr>
                <w:sz w:val="24"/>
              </w:rPr>
              <w:t>否</w:t>
            </w:r>
          </w:p>
        </w:tc>
      </w:tr>
      <w:tr w14:paraId="7BC55CD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125" w:hRule="atLeast"/>
          <w:jc w:val="center"/>
        </w:trPr>
        <w:tc>
          <w:tcPr>
            <w:tcW w:w="988" w:type="dxa"/>
            <w:noWrap w:val="0"/>
            <w:vAlign w:val="center"/>
          </w:tcPr>
          <w:p w14:paraId="4EBB5083">
            <w:pPr>
              <w:pStyle w:val="224"/>
              <w:jc w:val="center"/>
              <w:rPr>
                <w:rFonts w:hint="eastAsia" w:ascii="Times New Roman" w:hAnsi="Times New Roman" w:eastAsia="宋体"/>
                <w:sz w:val="24"/>
                <w:szCs w:val="24"/>
                <w:lang w:eastAsia="zh-CN"/>
              </w:rPr>
            </w:pPr>
            <w:r>
              <w:rPr>
                <w:rFonts w:hint="eastAsia" w:ascii="Times New Roman" w:hAnsi="Times New Roman"/>
                <w:sz w:val="24"/>
                <w:szCs w:val="24"/>
                <w:lang w:val="en-US" w:eastAsia="zh-CN"/>
              </w:rPr>
              <w:t>2</w:t>
            </w:r>
          </w:p>
        </w:tc>
        <w:tc>
          <w:tcPr>
            <w:tcW w:w="1701" w:type="dxa"/>
            <w:noWrap w:val="0"/>
            <w:vAlign w:val="center"/>
          </w:tcPr>
          <w:p w14:paraId="0C3833ED">
            <w:pPr>
              <w:jc w:val="center"/>
              <w:rPr>
                <w:sz w:val="24"/>
              </w:rPr>
            </w:pPr>
            <w:r>
              <w:rPr>
                <w:sz w:val="24"/>
              </w:rPr>
              <w:t>标的所属行业</w:t>
            </w:r>
          </w:p>
        </w:tc>
        <w:tc>
          <w:tcPr>
            <w:tcW w:w="7253" w:type="dxa"/>
            <w:noWrap w:val="0"/>
            <w:vAlign w:val="center"/>
          </w:tcPr>
          <w:p w14:paraId="61324A72">
            <w:pPr>
              <w:jc w:val="left"/>
              <w:rPr>
                <w:sz w:val="24"/>
              </w:rPr>
            </w:pPr>
            <w:r>
              <w:rPr>
                <w:rFonts w:hint="eastAsia" w:ascii="宋体" w:hAnsi="宋体" w:eastAsia="宋体" w:cs="宋体"/>
                <w:sz w:val="24"/>
                <w:szCs w:val="24"/>
              </w:rPr>
              <w:t>本项目采购标的对应的中小企业划分标准所属行业：</w:t>
            </w:r>
            <w:r>
              <w:rPr>
                <w:rFonts w:hint="eastAsia" w:ascii="宋体" w:hAnsi="宋体" w:cs="宋体"/>
                <w:sz w:val="24"/>
                <w:szCs w:val="24"/>
                <w:lang w:val="en-US" w:eastAsia="zh-CN"/>
              </w:rPr>
              <w:t>其他未列明行业</w:t>
            </w:r>
            <w:r>
              <w:rPr>
                <w:rFonts w:hint="eastAsia" w:ascii="宋体" w:hAnsi="宋体" w:eastAsia="宋体" w:cs="宋体"/>
                <w:color w:val="333333"/>
                <w:spacing w:val="8"/>
                <w:sz w:val="24"/>
                <w:szCs w:val="24"/>
                <w:lang w:val="zh-TW" w:eastAsia="zh-CN"/>
              </w:rPr>
              <w:t>【《关于印发中小企业划型标准规定的通知》（工信部联企业〔2011〕300号）】，按照本次采购标的所属行业的划型标准。</w:t>
            </w:r>
          </w:p>
        </w:tc>
      </w:tr>
      <w:tr w14:paraId="5D8D273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21" w:hRule="atLeast"/>
          <w:jc w:val="center"/>
        </w:trPr>
        <w:tc>
          <w:tcPr>
            <w:tcW w:w="988" w:type="dxa"/>
            <w:noWrap w:val="0"/>
            <w:vAlign w:val="center"/>
          </w:tcPr>
          <w:p w14:paraId="0A6A1519">
            <w:pPr>
              <w:pStyle w:val="224"/>
              <w:jc w:val="center"/>
              <w:rPr>
                <w:rFonts w:hint="eastAsia" w:ascii="Times New Roman" w:hAnsi="Times New Roman" w:eastAsia="宋体"/>
                <w:sz w:val="24"/>
                <w:szCs w:val="24"/>
                <w:lang w:eastAsia="zh-CN"/>
              </w:rPr>
            </w:pPr>
            <w:r>
              <w:rPr>
                <w:rFonts w:hint="eastAsia" w:ascii="Times New Roman" w:hAnsi="Times New Roman"/>
                <w:sz w:val="24"/>
                <w:szCs w:val="24"/>
                <w:lang w:val="en-US" w:eastAsia="zh-CN"/>
              </w:rPr>
              <w:t>3</w:t>
            </w:r>
          </w:p>
        </w:tc>
        <w:tc>
          <w:tcPr>
            <w:tcW w:w="1701" w:type="dxa"/>
            <w:noWrap w:val="0"/>
            <w:vAlign w:val="center"/>
          </w:tcPr>
          <w:p w14:paraId="4209B4CC">
            <w:pPr>
              <w:rPr>
                <w:sz w:val="24"/>
              </w:rPr>
            </w:pPr>
            <w:r>
              <w:rPr>
                <w:sz w:val="24"/>
              </w:rPr>
              <w:t>对单一来源采购文件的澄清或修改</w:t>
            </w:r>
          </w:p>
        </w:tc>
        <w:tc>
          <w:tcPr>
            <w:tcW w:w="7253" w:type="dxa"/>
            <w:noWrap w:val="0"/>
            <w:vAlign w:val="center"/>
          </w:tcPr>
          <w:p w14:paraId="40085CC0">
            <w:pPr>
              <w:jc w:val="left"/>
              <w:rPr>
                <w:sz w:val="24"/>
              </w:rPr>
            </w:pPr>
            <w:r>
              <w:rPr>
                <w:sz w:val="24"/>
              </w:rPr>
              <w:t>提交响应文件截止之日</w:t>
            </w:r>
            <w:r>
              <w:rPr>
                <w:rFonts w:hint="eastAsia"/>
                <w:sz w:val="24"/>
                <w:lang w:val="en-US" w:eastAsia="zh-CN"/>
              </w:rPr>
              <w:t>3</w:t>
            </w:r>
            <w:r>
              <w:rPr>
                <w:sz w:val="24"/>
              </w:rPr>
              <w:t>日前</w:t>
            </w:r>
          </w:p>
        </w:tc>
      </w:tr>
      <w:tr w14:paraId="497D2E0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21" w:hRule="atLeast"/>
          <w:jc w:val="center"/>
        </w:trPr>
        <w:tc>
          <w:tcPr>
            <w:tcW w:w="988" w:type="dxa"/>
            <w:noWrap w:val="0"/>
            <w:vAlign w:val="center"/>
          </w:tcPr>
          <w:p w14:paraId="77D0ADE7">
            <w:pPr>
              <w:pStyle w:val="224"/>
              <w:jc w:val="center"/>
              <w:rPr>
                <w:rFonts w:hint="eastAsia" w:ascii="Times New Roman" w:hAnsi="Times New Roman" w:eastAsia="宋体"/>
                <w:sz w:val="24"/>
                <w:szCs w:val="24"/>
                <w:lang w:eastAsia="zh-CN"/>
              </w:rPr>
            </w:pPr>
            <w:r>
              <w:rPr>
                <w:rFonts w:hint="eastAsia" w:ascii="Times New Roman" w:hAnsi="Times New Roman"/>
                <w:sz w:val="24"/>
                <w:szCs w:val="24"/>
                <w:lang w:val="en-US" w:eastAsia="zh-CN"/>
              </w:rPr>
              <w:t>4</w:t>
            </w:r>
          </w:p>
        </w:tc>
        <w:tc>
          <w:tcPr>
            <w:tcW w:w="1701" w:type="dxa"/>
            <w:noWrap w:val="0"/>
            <w:vAlign w:val="center"/>
          </w:tcPr>
          <w:p w14:paraId="3E5A74D2">
            <w:pPr>
              <w:ind w:firstLine="480"/>
              <w:rPr>
                <w:sz w:val="24"/>
              </w:rPr>
            </w:pPr>
            <w:r>
              <w:rPr>
                <w:sz w:val="24"/>
              </w:rPr>
              <w:t>报价</w:t>
            </w:r>
          </w:p>
        </w:tc>
        <w:tc>
          <w:tcPr>
            <w:tcW w:w="7253" w:type="dxa"/>
            <w:noWrap w:val="0"/>
            <w:vAlign w:val="center"/>
          </w:tcPr>
          <w:p w14:paraId="546C3C94">
            <w:pPr>
              <w:jc w:val="left"/>
              <w:rPr>
                <w:sz w:val="24"/>
              </w:rPr>
            </w:pPr>
            <w:r>
              <w:rPr>
                <w:sz w:val="24"/>
              </w:rPr>
              <w:t>报价的特殊规定：</w:t>
            </w:r>
          </w:p>
          <w:p w14:paraId="580F1D30">
            <w:pPr>
              <w:jc w:val="left"/>
              <w:rPr>
                <w:sz w:val="24"/>
              </w:rPr>
            </w:pPr>
            <w:r>
              <w:rPr>
                <w:sz w:val="24"/>
              </w:rPr>
              <w:t>□无</w:t>
            </w:r>
          </w:p>
          <w:p w14:paraId="6310F988">
            <w:pPr>
              <w:jc w:val="left"/>
              <w:rPr>
                <w:sz w:val="24"/>
              </w:rPr>
            </w:pPr>
            <w:r>
              <w:rPr>
                <w:rFonts w:hint="eastAsia"/>
                <w:sz w:val="24"/>
                <w:lang w:eastAsia="zh-CN"/>
              </w:rPr>
              <w:t>☑</w:t>
            </w:r>
            <w:r>
              <w:rPr>
                <w:sz w:val="24"/>
              </w:rPr>
              <w:t>有，具体情形：</w:t>
            </w:r>
            <w:r>
              <w:rPr>
                <w:rFonts w:hint="eastAsia"/>
                <w:sz w:val="24"/>
              </w:rPr>
              <w:t>本项目采用至少二次报价，单一来源响应文件的报价作为首次报价，在谈判结束后，供应商在规定时间内提交最后报价，最后报价作为评审依据</w:t>
            </w:r>
            <w:r>
              <w:rPr>
                <w:sz w:val="24"/>
              </w:rPr>
              <w:t>。</w:t>
            </w:r>
          </w:p>
        </w:tc>
      </w:tr>
      <w:tr w14:paraId="63F26E6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9" w:hRule="atLeast"/>
          <w:jc w:val="center"/>
        </w:trPr>
        <w:tc>
          <w:tcPr>
            <w:tcW w:w="988" w:type="dxa"/>
            <w:noWrap w:val="0"/>
            <w:vAlign w:val="center"/>
          </w:tcPr>
          <w:p w14:paraId="715F4FF5">
            <w:pPr>
              <w:pStyle w:val="224"/>
              <w:jc w:val="center"/>
              <w:rPr>
                <w:rFonts w:hint="eastAsia" w:ascii="Times New Roman" w:hAnsi="Times New Roman" w:eastAsia="宋体"/>
                <w:sz w:val="24"/>
                <w:szCs w:val="24"/>
                <w:lang w:eastAsia="zh-CN"/>
              </w:rPr>
            </w:pPr>
            <w:r>
              <w:rPr>
                <w:rFonts w:hint="eastAsia" w:ascii="Times New Roman" w:hAnsi="Times New Roman"/>
                <w:sz w:val="24"/>
                <w:szCs w:val="24"/>
                <w:lang w:val="en-US" w:eastAsia="zh-CN"/>
              </w:rPr>
              <w:t>5</w:t>
            </w:r>
          </w:p>
        </w:tc>
        <w:tc>
          <w:tcPr>
            <w:tcW w:w="1701" w:type="dxa"/>
            <w:noWrap w:val="0"/>
            <w:vAlign w:val="center"/>
          </w:tcPr>
          <w:p w14:paraId="71586EB8">
            <w:pPr>
              <w:jc w:val="center"/>
              <w:rPr>
                <w:sz w:val="24"/>
              </w:rPr>
            </w:pPr>
            <w:r>
              <w:rPr>
                <w:sz w:val="24"/>
              </w:rPr>
              <w:t>保证金</w:t>
            </w:r>
          </w:p>
        </w:tc>
        <w:tc>
          <w:tcPr>
            <w:tcW w:w="7253" w:type="dxa"/>
            <w:noWrap w:val="0"/>
            <w:vAlign w:val="center"/>
          </w:tcPr>
          <w:p w14:paraId="611B639F">
            <w:pPr>
              <w:pStyle w:val="224"/>
              <w:rPr>
                <w:rFonts w:ascii="Times New Roman" w:hAnsi="Times New Roman"/>
                <w:sz w:val="24"/>
                <w:szCs w:val="24"/>
              </w:rPr>
            </w:pPr>
            <w:r>
              <w:rPr>
                <w:rFonts w:ascii="Times New Roman" w:hAnsi="Times New Roman"/>
                <w:sz w:val="24"/>
                <w:szCs w:val="24"/>
              </w:rPr>
              <w:t>免收</w:t>
            </w:r>
          </w:p>
        </w:tc>
      </w:tr>
      <w:tr w14:paraId="0023E10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jc w:val="center"/>
        </w:trPr>
        <w:tc>
          <w:tcPr>
            <w:tcW w:w="988" w:type="dxa"/>
            <w:noWrap w:val="0"/>
            <w:vAlign w:val="center"/>
          </w:tcPr>
          <w:p w14:paraId="4E71E153">
            <w:pPr>
              <w:pStyle w:val="224"/>
              <w:jc w:val="center"/>
              <w:rPr>
                <w:rFonts w:ascii="Times New Roman" w:hAnsi="Times New Roman" w:eastAsia="宋体"/>
                <w:sz w:val="24"/>
                <w:szCs w:val="24"/>
                <w:lang w:val="en-US" w:eastAsia="zh-CN" w:bidi="ar-SA"/>
              </w:rPr>
            </w:pPr>
            <w:r>
              <w:rPr>
                <w:rFonts w:hint="eastAsia" w:ascii="Times New Roman" w:hAnsi="Times New Roman"/>
                <w:sz w:val="24"/>
                <w:szCs w:val="24"/>
                <w:lang w:val="en-US" w:eastAsia="zh-CN"/>
              </w:rPr>
              <w:t>6</w:t>
            </w:r>
          </w:p>
        </w:tc>
        <w:tc>
          <w:tcPr>
            <w:tcW w:w="1701" w:type="dxa"/>
            <w:noWrap w:val="0"/>
            <w:vAlign w:val="center"/>
          </w:tcPr>
          <w:p w14:paraId="5E223095">
            <w:pPr>
              <w:jc w:val="center"/>
              <w:rPr>
                <w:sz w:val="24"/>
              </w:rPr>
            </w:pPr>
            <w:r>
              <w:rPr>
                <w:rFonts w:hint="eastAsia"/>
                <w:sz w:val="24"/>
                <w:lang w:val="en-US" w:eastAsia="zh-CN"/>
              </w:rPr>
              <w:t>履约保证金</w:t>
            </w:r>
          </w:p>
        </w:tc>
        <w:tc>
          <w:tcPr>
            <w:tcW w:w="7253" w:type="dxa"/>
            <w:noWrap w:val="0"/>
            <w:vAlign w:val="center"/>
          </w:tcPr>
          <w:p w14:paraId="76BFF363">
            <w:pPr>
              <w:pStyle w:val="224"/>
              <w:rPr>
                <w:rFonts w:ascii="Times New Roman" w:hAnsi="Times New Roman"/>
                <w:sz w:val="24"/>
                <w:szCs w:val="24"/>
              </w:rPr>
            </w:pPr>
            <w:r>
              <w:rPr>
                <w:rFonts w:hint="eastAsia" w:ascii="宋体" w:hAnsi="宋体" w:eastAsia="宋体" w:cs="宋体"/>
                <w:color w:val="333333"/>
                <w:sz w:val="24"/>
                <w:szCs w:val="24"/>
                <w:lang w:val="en-US" w:eastAsia="zh-CN"/>
              </w:rPr>
              <w:t>中标供应商在签订合同前，向采购人提供相当于合同总价</w:t>
            </w:r>
            <w:r>
              <w:rPr>
                <w:rFonts w:hint="eastAsia" w:ascii="宋体" w:hAnsi="宋体" w:eastAsia="宋体" w:cs="宋体"/>
                <w:color w:val="0000FF"/>
                <w:sz w:val="24"/>
                <w:szCs w:val="24"/>
                <w:u w:val="single"/>
                <w:lang w:val="en-US" w:eastAsia="zh-CN"/>
              </w:rPr>
              <w:t>5%</w:t>
            </w:r>
            <w:r>
              <w:rPr>
                <w:rFonts w:hint="eastAsia" w:ascii="宋体" w:hAnsi="宋体" w:eastAsia="宋体" w:cs="宋体"/>
                <w:color w:val="333333"/>
                <w:sz w:val="24"/>
                <w:szCs w:val="24"/>
                <w:lang w:val="en-US" w:eastAsia="zh-CN"/>
              </w:rPr>
              <w:t>的履约保证金(</w:t>
            </w:r>
            <w:r>
              <w:rPr>
                <w:rFonts w:hint="eastAsia" w:ascii="宋体" w:hAnsi="宋体" w:eastAsia="宋体" w:cs="宋体"/>
                <w:color w:val="333333"/>
                <w:sz w:val="24"/>
                <w:szCs w:val="24"/>
                <w:lang w:val="zh-CN" w:eastAsia="zh-CN"/>
              </w:rPr>
              <w:t>中标供应商自主选择以支票、汇票、本票、保函等非现金形式缴纳或递交）</w:t>
            </w:r>
            <w:r>
              <w:rPr>
                <w:rFonts w:hint="eastAsia" w:ascii="宋体" w:hAnsi="宋体" w:eastAsia="宋体" w:cs="宋体"/>
                <w:color w:val="333333"/>
                <w:sz w:val="24"/>
                <w:szCs w:val="24"/>
                <w:lang w:val="en-US" w:eastAsia="zh-CN"/>
              </w:rPr>
              <w:t>,项目竣工验收合格后一次性退还(无息)</w:t>
            </w:r>
          </w:p>
        </w:tc>
      </w:tr>
      <w:tr w14:paraId="7D86809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jc w:val="center"/>
        </w:trPr>
        <w:tc>
          <w:tcPr>
            <w:tcW w:w="988" w:type="dxa"/>
            <w:noWrap w:val="0"/>
            <w:vAlign w:val="center"/>
          </w:tcPr>
          <w:p w14:paraId="6285D943">
            <w:pPr>
              <w:pStyle w:val="224"/>
              <w:jc w:val="center"/>
              <w:rPr>
                <w:rFonts w:hint="eastAsia" w:ascii="Times New Roman" w:hAnsi="Times New Roman" w:eastAsia="宋体"/>
                <w:sz w:val="24"/>
                <w:szCs w:val="24"/>
                <w:lang w:val="en-US" w:eastAsia="zh-CN" w:bidi="ar-SA"/>
              </w:rPr>
            </w:pPr>
            <w:r>
              <w:rPr>
                <w:rFonts w:hint="eastAsia" w:ascii="Times New Roman" w:hAnsi="Times New Roman"/>
                <w:sz w:val="24"/>
                <w:szCs w:val="24"/>
                <w:lang w:val="en-US" w:eastAsia="zh-CN"/>
              </w:rPr>
              <w:t>7</w:t>
            </w:r>
          </w:p>
        </w:tc>
        <w:tc>
          <w:tcPr>
            <w:tcW w:w="1701" w:type="dxa"/>
            <w:noWrap w:val="0"/>
            <w:vAlign w:val="center"/>
          </w:tcPr>
          <w:p w14:paraId="265EBC6A">
            <w:pPr>
              <w:jc w:val="left"/>
              <w:rPr>
                <w:rFonts w:hint="eastAsia"/>
                <w:sz w:val="24"/>
                <w:lang w:val="en-US" w:eastAsia="zh-CN"/>
              </w:rPr>
            </w:pPr>
            <w:r>
              <w:rPr>
                <w:rFonts w:hint="eastAsia" w:ascii="Times New Roman" w:hAnsi="Times New Roman" w:eastAsia="宋体" w:cs="Times New Roman"/>
                <w:sz w:val="24"/>
                <w:lang w:eastAsia="zh-CN"/>
              </w:rPr>
              <w:t>响应文件</w:t>
            </w:r>
            <w:r>
              <w:rPr>
                <w:rFonts w:hint="eastAsia" w:ascii="Times New Roman" w:hAnsi="Times New Roman" w:eastAsia="宋体" w:cs="Times New Roman"/>
                <w:sz w:val="24"/>
              </w:rPr>
              <w:t>份数</w:t>
            </w:r>
          </w:p>
        </w:tc>
        <w:tc>
          <w:tcPr>
            <w:tcW w:w="7253" w:type="dxa"/>
            <w:noWrap w:val="0"/>
            <w:vAlign w:val="center"/>
          </w:tcPr>
          <w:p w14:paraId="07C61004">
            <w:pPr>
              <w:jc w:val="left"/>
              <w:rPr>
                <w:rFonts w:hint="eastAsia" w:ascii="Times New Roman" w:hAnsi="Times New Roman" w:eastAsia="宋体" w:cs="Times New Roman"/>
                <w:sz w:val="24"/>
              </w:rPr>
            </w:pPr>
            <w:r>
              <w:rPr>
                <w:rFonts w:hint="eastAsia" w:ascii="Times New Roman" w:hAnsi="Times New Roman" w:eastAsia="宋体" w:cs="Times New Roman"/>
                <w:sz w:val="24"/>
              </w:rPr>
              <w:t>无需提供纸质</w:t>
            </w:r>
            <w:r>
              <w:rPr>
                <w:rFonts w:hint="eastAsia" w:ascii="Times New Roman" w:hAnsi="Times New Roman" w:eastAsia="宋体" w:cs="Times New Roman"/>
                <w:sz w:val="24"/>
                <w:lang w:eastAsia="zh-CN"/>
              </w:rPr>
              <w:t>响应文件</w:t>
            </w:r>
            <w:r>
              <w:rPr>
                <w:rFonts w:hint="eastAsia" w:ascii="Times New Roman" w:hAnsi="Times New Roman" w:eastAsia="宋体" w:cs="Times New Roman"/>
                <w:sz w:val="24"/>
              </w:rPr>
              <w:t>。</w:t>
            </w:r>
          </w:p>
          <w:p w14:paraId="315E1D6A">
            <w:pPr>
              <w:jc w:val="left"/>
              <w:rPr>
                <w:rFonts w:hint="eastAsia" w:ascii="宋体" w:hAnsi="宋体" w:eastAsia="宋体" w:cs="宋体"/>
                <w:color w:val="333333"/>
                <w:sz w:val="24"/>
                <w:szCs w:val="24"/>
                <w:lang w:val="en-US" w:eastAsia="zh-CN"/>
              </w:rPr>
            </w:pPr>
            <w:r>
              <w:rPr>
                <w:rFonts w:hint="eastAsia" w:ascii="Times New Roman" w:hAnsi="Times New Roman" w:eastAsia="宋体" w:cs="Times New Roman"/>
                <w:sz w:val="24"/>
                <w:lang w:eastAsia="zh-CN"/>
              </w:rPr>
              <w:t>中标供应商</w:t>
            </w:r>
            <w:r>
              <w:rPr>
                <w:rFonts w:hint="eastAsia" w:ascii="Times New Roman" w:hAnsi="Times New Roman" w:eastAsia="宋体" w:cs="Times New Roman"/>
                <w:sz w:val="24"/>
              </w:rPr>
              <w:t>在领取中标通知书前须向</w:t>
            </w:r>
            <w:r>
              <w:rPr>
                <w:rFonts w:hint="eastAsia" w:ascii="Times New Roman" w:hAnsi="Times New Roman" w:eastAsia="宋体" w:cs="Times New Roman"/>
                <w:sz w:val="24"/>
                <w:lang w:eastAsia="zh-CN"/>
              </w:rPr>
              <w:t>采购人</w:t>
            </w:r>
            <w:r>
              <w:rPr>
                <w:rFonts w:hint="eastAsia" w:ascii="Times New Roman" w:hAnsi="Times New Roman" w:eastAsia="宋体" w:cs="Times New Roman"/>
                <w:sz w:val="24"/>
              </w:rPr>
              <w:t>额外提供从电子化招投标系统打印出的与投标所报电子文件一致的纸质投标书</w:t>
            </w:r>
            <w:r>
              <w:rPr>
                <w:rFonts w:hint="eastAsia" w:ascii="Times New Roman" w:hAnsi="Times New Roman" w:eastAsia="宋体" w:cs="Times New Roman"/>
                <w:color w:val="0000FF"/>
                <w:sz w:val="24"/>
                <w:u w:val="single"/>
                <w:lang w:val="en-US" w:eastAsia="zh-CN"/>
              </w:rPr>
              <w:t xml:space="preserve">  3  </w:t>
            </w:r>
            <w:r>
              <w:rPr>
                <w:rFonts w:hint="eastAsia" w:ascii="Times New Roman" w:hAnsi="Times New Roman" w:eastAsia="宋体" w:cs="Times New Roman"/>
                <w:sz w:val="24"/>
              </w:rPr>
              <w:t>份，并按要求签字盖章，纸质投标书需胶装。</w:t>
            </w:r>
          </w:p>
        </w:tc>
      </w:tr>
      <w:tr w14:paraId="53F51FC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jc w:val="center"/>
        </w:trPr>
        <w:tc>
          <w:tcPr>
            <w:tcW w:w="988" w:type="dxa"/>
            <w:noWrap w:val="0"/>
            <w:vAlign w:val="center"/>
          </w:tcPr>
          <w:p w14:paraId="4235A99D">
            <w:pPr>
              <w:pStyle w:val="224"/>
              <w:jc w:val="center"/>
              <w:rPr>
                <w:rFonts w:hint="eastAsia" w:ascii="Times New Roman" w:hAnsi="Times New Roman" w:eastAsia="宋体"/>
                <w:sz w:val="24"/>
                <w:szCs w:val="24"/>
                <w:lang w:val="en-US" w:eastAsia="zh-CN" w:bidi="ar-SA"/>
              </w:rPr>
            </w:pPr>
            <w:r>
              <w:rPr>
                <w:rFonts w:hint="eastAsia" w:ascii="Times New Roman" w:hAnsi="Times New Roman"/>
                <w:sz w:val="24"/>
                <w:szCs w:val="24"/>
                <w:lang w:val="en-US" w:eastAsia="zh-CN"/>
              </w:rPr>
              <w:t>8</w:t>
            </w:r>
          </w:p>
        </w:tc>
        <w:tc>
          <w:tcPr>
            <w:tcW w:w="1701" w:type="dxa"/>
            <w:noWrap w:val="0"/>
            <w:vAlign w:val="center"/>
          </w:tcPr>
          <w:p w14:paraId="3F835525">
            <w:pPr>
              <w:jc w:val="center"/>
              <w:rPr>
                <w:sz w:val="24"/>
              </w:rPr>
            </w:pPr>
            <w:r>
              <w:rPr>
                <w:sz w:val="24"/>
              </w:rPr>
              <w:t>响应有效期</w:t>
            </w:r>
          </w:p>
        </w:tc>
        <w:tc>
          <w:tcPr>
            <w:tcW w:w="7253" w:type="dxa"/>
            <w:noWrap w:val="0"/>
            <w:vAlign w:val="center"/>
          </w:tcPr>
          <w:p w14:paraId="5AD89384">
            <w:pPr>
              <w:jc w:val="left"/>
              <w:rPr>
                <w:sz w:val="24"/>
              </w:rPr>
            </w:pPr>
            <w:r>
              <w:rPr>
                <w:sz w:val="24"/>
              </w:rPr>
              <w:t>自提交响应文件的截止之日起算</w:t>
            </w:r>
            <w:r>
              <w:rPr>
                <w:rFonts w:hint="eastAsia"/>
                <w:sz w:val="24"/>
                <w:lang w:val="en-US" w:eastAsia="zh-CN"/>
              </w:rPr>
              <w:t>90</w:t>
            </w:r>
            <w:r>
              <w:rPr>
                <w:sz w:val="24"/>
              </w:rPr>
              <w:t>日历天。</w:t>
            </w:r>
          </w:p>
        </w:tc>
      </w:tr>
      <w:tr w14:paraId="2ECE6E8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43" w:hRule="atLeast"/>
          <w:jc w:val="center"/>
        </w:trPr>
        <w:tc>
          <w:tcPr>
            <w:tcW w:w="988" w:type="dxa"/>
            <w:noWrap w:val="0"/>
            <w:vAlign w:val="center"/>
          </w:tcPr>
          <w:p w14:paraId="20555C3E">
            <w:pPr>
              <w:pStyle w:val="224"/>
              <w:jc w:val="center"/>
              <w:rPr>
                <w:rFonts w:hint="eastAsia" w:ascii="Times New Roman" w:hAnsi="Times New Roman" w:eastAsia="宋体"/>
                <w:sz w:val="24"/>
                <w:szCs w:val="24"/>
                <w:lang w:val="en-US" w:eastAsia="zh-CN" w:bidi="ar-SA"/>
              </w:rPr>
            </w:pPr>
            <w:r>
              <w:rPr>
                <w:rFonts w:hint="eastAsia" w:ascii="Times New Roman" w:hAnsi="Times New Roman"/>
                <w:sz w:val="24"/>
                <w:szCs w:val="24"/>
                <w:lang w:val="en-US" w:eastAsia="zh-CN"/>
              </w:rPr>
              <w:t>9</w:t>
            </w:r>
          </w:p>
        </w:tc>
        <w:tc>
          <w:tcPr>
            <w:tcW w:w="1701" w:type="dxa"/>
            <w:noWrap w:val="0"/>
            <w:vAlign w:val="center"/>
          </w:tcPr>
          <w:p w14:paraId="52940BAA">
            <w:pPr>
              <w:jc w:val="center"/>
              <w:rPr>
                <w:sz w:val="24"/>
              </w:rPr>
            </w:pPr>
            <w:r>
              <w:rPr>
                <w:sz w:val="24"/>
              </w:rPr>
              <w:t>解密地点</w:t>
            </w:r>
          </w:p>
        </w:tc>
        <w:tc>
          <w:tcPr>
            <w:tcW w:w="7253" w:type="dxa"/>
            <w:noWrap w:val="0"/>
            <w:vAlign w:val="center"/>
          </w:tcPr>
          <w:p w14:paraId="31AAB5BF">
            <w:pPr>
              <w:jc w:val="left"/>
              <w:rPr>
                <w:sz w:val="24"/>
              </w:rPr>
            </w:pPr>
            <w:r>
              <w:rPr>
                <w:sz w:val="24"/>
              </w:rPr>
              <w:t>地点：</w:t>
            </w:r>
            <w:r>
              <w:rPr>
                <w:rFonts w:hint="eastAsia"/>
                <w:sz w:val="24"/>
                <w:u w:val="single"/>
                <w:lang w:val="en-US" w:eastAsia="zh-CN"/>
              </w:rPr>
              <w:t>通过系统在线解密</w:t>
            </w:r>
            <w:r>
              <w:rPr>
                <w:sz w:val="24"/>
              </w:rPr>
              <w:t>。</w:t>
            </w:r>
          </w:p>
        </w:tc>
      </w:tr>
      <w:tr w14:paraId="5642762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jc w:val="center"/>
        </w:trPr>
        <w:tc>
          <w:tcPr>
            <w:tcW w:w="988" w:type="dxa"/>
            <w:noWrap w:val="0"/>
            <w:vAlign w:val="center"/>
          </w:tcPr>
          <w:p w14:paraId="00C860D1">
            <w:pPr>
              <w:pStyle w:val="224"/>
              <w:jc w:val="center"/>
              <w:rPr>
                <w:rFonts w:hint="eastAsia" w:ascii="Times New Roman" w:hAnsi="Times New Roman" w:eastAsia="宋体"/>
                <w:sz w:val="24"/>
                <w:szCs w:val="24"/>
                <w:lang w:val="en-US" w:eastAsia="zh-CN" w:bidi="ar-SA"/>
              </w:rPr>
            </w:pPr>
            <w:r>
              <w:rPr>
                <w:rFonts w:hint="eastAsia" w:ascii="Times New Roman" w:hAnsi="Times New Roman"/>
                <w:sz w:val="24"/>
                <w:szCs w:val="24"/>
                <w:lang w:val="en-US" w:eastAsia="zh-CN"/>
              </w:rPr>
              <w:t>10</w:t>
            </w:r>
          </w:p>
        </w:tc>
        <w:tc>
          <w:tcPr>
            <w:tcW w:w="1701" w:type="dxa"/>
            <w:noWrap w:val="0"/>
            <w:vAlign w:val="center"/>
          </w:tcPr>
          <w:p w14:paraId="577E5939">
            <w:pPr>
              <w:jc w:val="center"/>
              <w:rPr>
                <w:sz w:val="24"/>
              </w:rPr>
            </w:pPr>
            <w:r>
              <w:rPr>
                <w:sz w:val="24"/>
              </w:rPr>
              <w:t>分包</w:t>
            </w:r>
          </w:p>
        </w:tc>
        <w:tc>
          <w:tcPr>
            <w:tcW w:w="7253" w:type="dxa"/>
            <w:noWrap w:val="0"/>
            <w:vAlign w:val="center"/>
          </w:tcPr>
          <w:p w14:paraId="603CD400">
            <w:pPr>
              <w:jc w:val="left"/>
              <w:rPr>
                <w:sz w:val="24"/>
                <w:u w:val="single"/>
              </w:rPr>
            </w:pPr>
            <w:r>
              <w:rPr>
                <w:sz w:val="24"/>
              </w:rPr>
              <w:t xml:space="preserve">本项目是否允许分包： </w:t>
            </w:r>
            <w:r>
              <w:rPr>
                <w:rFonts w:hint="eastAsia"/>
                <w:sz w:val="24"/>
                <w:lang w:eastAsia="zh-CN"/>
              </w:rPr>
              <w:t>☑</w:t>
            </w:r>
            <w:r>
              <w:rPr>
                <w:sz w:val="24"/>
              </w:rPr>
              <w:t>不允许</w:t>
            </w:r>
          </w:p>
        </w:tc>
      </w:tr>
      <w:tr w14:paraId="636F69E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6" w:hRule="atLeast"/>
          <w:jc w:val="center"/>
        </w:trPr>
        <w:tc>
          <w:tcPr>
            <w:tcW w:w="988" w:type="dxa"/>
            <w:noWrap w:val="0"/>
            <w:vAlign w:val="center"/>
          </w:tcPr>
          <w:p w14:paraId="7194F507">
            <w:pPr>
              <w:pStyle w:val="224"/>
              <w:jc w:val="center"/>
              <w:rPr>
                <w:rFonts w:ascii="Times New Roman" w:hAnsi="Times New Roman" w:eastAsia="宋体"/>
                <w:sz w:val="24"/>
                <w:szCs w:val="24"/>
                <w:highlight w:val="none"/>
                <w:lang w:val="en-US" w:eastAsia="zh-CN" w:bidi="ar-SA"/>
              </w:rPr>
            </w:pPr>
            <w:r>
              <w:rPr>
                <w:rFonts w:hint="eastAsia" w:ascii="Times New Roman" w:hAnsi="Times New Roman"/>
                <w:sz w:val="24"/>
                <w:szCs w:val="24"/>
                <w:highlight w:val="none"/>
                <w:lang w:val="en-US" w:eastAsia="zh-CN"/>
              </w:rPr>
              <w:t>11</w:t>
            </w:r>
          </w:p>
        </w:tc>
        <w:tc>
          <w:tcPr>
            <w:tcW w:w="1701" w:type="dxa"/>
            <w:noWrap w:val="0"/>
            <w:vAlign w:val="center"/>
          </w:tcPr>
          <w:p w14:paraId="012C73D0">
            <w:pPr>
              <w:jc w:val="center"/>
              <w:rPr>
                <w:sz w:val="24"/>
                <w:highlight w:val="none"/>
              </w:rPr>
            </w:pPr>
            <w:r>
              <w:rPr>
                <w:sz w:val="24"/>
                <w:highlight w:val="none"/>
              </w:rPr>
              <w:t>询问</w:t>
            </w:r>
          </w:p>
        </w:tc>
        <w:tc>
          <w:tcPr>
            <w:tcW w:w="7253" w:type="dxa"/>
            <w:noWrap w:val="0"/>
            <w:vAlign w:val="center"/>
          </w:tcPr>
          <w:p w14:paraId="095CE81B">
            <w:pPr>
              <w:jc w:val="left"/>
              <w:rPr>
                <w:rFonts w:hint="eastAsia" w:ascii="宋体" w:hAnsi="宋体" w:cs="宋体"/>
                <w:sz w:val="24"/>
                <w:highlight w:val="none"/>
                <w:lang w:bidi="ar"/>
              </w:rPr>
            </w:pPr>
            <w:r>
              <w:rPr>
                <w:sz w:val="24"/>
                <w:highlight w:val="none"/>
              </w:rPr>
              <w:t>询问送达形式：</w:t>
            </w:r>
            <w:r>
              <w:rPr>
                <w:rFonts w:hint="eastAsia" w:ascii="宋体" w:hAnsi="宋体" w:cs="宋体"/>
                <w:sz w:val="24"/>
                <w:highlight w:val="none"/>
                <w:lang w:bidi="ar"/>
              </w:rPr>
              <w:t>书面原件形式递交。（注：询问函：① 必须加盖供应商公章；② 以采购代理机构收到时间为准。否则采购代理机构有权拒收其递交的文件）。如口头可解释的问题亦可电话咨询采购人。未提出疑问将被视为完全认同</w:t>
            </w:r>
            <w:r>
              <w:rPr>
                <w:rFonts w:hint="eastAsia" w:ascii="宋体" w:hAnsi="宋体" w:cs="宋体"/>
                <w:sz w:val="24"/>
                <w:highlight w:val="none"/>
                <w:lang w:val="en-US" w:eastAsia="zh-CN" w:bidi="ar"/>
              </w:rPr>
              <w:t>单一来源</w:t>
            </w:r>
            <w:r>
              <w:rPr>
                <w:rFonts w:hint="eastAsia" w:ascii="宋体" w:hAnsi="宋体" w:cs="宋体"/>
                <w:sz w:val="24"/>
                <w:highlight w:val="none"/>
                <w:lang w:bidi="ar"/>
              </w:rPr>
              <w:t>文件，逾期将不接受其对于</w:t>
            </w:r>
            <w:r>
              <w:rPr>
                <w:rFonts w:hint="eastAsia" w:ascii="宋体" w:hAnsi="宋体" w:cs="宋体"/>
                <w:sz w:val="24"/>
                <w:highlight w:val="none"/>
                <w:lang w:val="en-US" w:eastAsia="zh-CN" w:bidi="ar"/>
              </w:rPr>
              <w:t>单一来源</w:t>
            </w:r>
            <w:r>
              <w:rPr>
                <w:rFonts w:hint="eastAsia" w:ascii="宋体" w:hAnsi="宋体" w:cs="宋体"/>
                <w:sz w:val="24"/>
                <w:highlight w:val="none"/>
                <w:lang w:bidi="ar"/>
              </w:rPr>
              <w:t>文件的相关异议。</w:t>
            </w:r>
          </w:p>
          <w:p w14:paraId="716E8529">
            <w:pPr>
              <w:jc w:val="left"/>
              <w:rPr>
                <w:sz w:val="24"/>
                <w:highlight w:val="none"/>
              </w:rPr>
            </w:pPr>
            <w:r>
              <w:rPr>
                <w:rFonts w:hint="eastAsia" w:ascii="宋体" w:hAnsi="宋体" w:cs="宋体"/>
                <w:sz w:val="24"/>
                <w:highlight w:val="none"/>
                <w:lang w:bidi="ar"/>
              </w:rPr>
              <w:t>询问时间：202</w:t>
            </w:r>
            <w:r>
              <w:rPr>
                <w:rFonts w:hint="eastAsia" w:ascii="宋体" w:hAnsi="宋体" w:cs="宋体"/>
                <w:sz w:val="24"/>
                <w:highlight w:val="none"/>
                <w:lang w:val="en-US" w:eastAsia="zh-CN" w:bidi="ar"/>
              </w:rPr>
              <w:t>6</w:t>
            </w:r>
            <w:r>
              <w:rPr>
                <w:rFonts w:hint="eastAsia" w:ascii="宋体" w:hAnsi="宋体" w:cs="宋体"/>
                <w:sz w:val="24"/>
                <w:highlight w:val="none"/>
                <w:lang w:bidi="ar"/>
              </w:rPr>
              <w:t>年</w:t>
            </w:r>
            <w:r>
              <w:rPr>
                <w:rFonts w:hint="eastAsia" w:ascii="宋体" w:hAnsi="宋体" w:cs="宋体"/>
                <w:sz w:val="24"/>
                <w:highlight w:val="none"/>
                <w:lang w:val="en-US" w:eastAsia="zh-CN" w:bidi="ar"/>
              </w:rPr>
              <w:t>01</w:t>
            </w:r>
            <w:r>
              <w:rPr>
                <w:rFonts w:hint="eastAsia" w:ascii="宋体" w:hAnsi="宋体" w:cs="宋体"/>
                <w:sz w:val="24"/>
                <w:highlight w:val="none"/>
                <w:lang w:bidi="ar"/>
              </w:rPr>
              <w:t>月</w:t>
            </w:r>
            <w:r>
              <w:rPr>
                <w:rFonts w:hint="eastAsia" w:ascii="宋体" w:hAnsi="宋体" w:cs="宋体"/>
                <w:sz w:val="24"/>
                <w:highlight w:val="none"/>
                <w:lang w:val="en-US" w:eastAsia="zh-CN" w:bidi="ar"/>
              </w:rPr>
              <w:t>13</w:t>
            </w:r>
            <w:r>
              <w:rPr>
                <w:rFonts w:hint="eastAsia" w:ascii="宋体" w:hAnsi="宋体" w:cs="宋体"/>
                <w:sz w:val="24"/>
                <w:highlight w:val="none"/>
                <w:lang w:bidi="ar"/>
              </w:rPr>
              <w:t>日11:00前</w:t>
            </w:r>
            <w:r>
              <w:rPr>
                <w:sz w:val="24"/>
                <w:highlight w:val="none"/>
              </w:rPr>
              <w:t>。</w:t>
            </w:r>
          </w:p>
        </w:tc>
      </w:tr>
      <w:tr w14:paraId="0A11029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jc w:val="center"/>
        </w:trPr>
        <w:tc>
          <w:tcPr>
            <w:tcW w:w="988" w:type="dxa"/>
            <w:noWrap w:val="0"/>
            <w:vAlign w:val="center"/>
          </w:tcPr>
          <w:p w14:paraId="3B184509">
            <w:pPr>
              <w:pStyle w:val="224"/>
              <w:jc w:val="center"/>
              <w:rPr>
                <w:rFonts w:ascii="Times New Roman" w:hAnsi="Times New Roman" w:eastAsia="宋体"/>
                <w:sz w:val="24"/>
                <w:szCs w:val="24"/>
                <w:highlight w:val="none"/>
                <w:lang w:val="en-US" w:eastAsia="zh-CN" w:bidi="ar-SA"/>
              </w:rPr>
            </w:pPr>
            <w:r>
              <w:rPr>
                <w:rFonts w:hint="eastAsia" w:ascii="Times New Roman" w:hAnsi="Times New Roman"/>
                <w:sz w:val="24"/>
                <w:szCs w:val="24"/>
                <w:highlight w:val="none"/>
                <w:lang w:val="en-US" w:eastAsia="zh-CN"/>
              </w:rPr>
              <w:t>12</w:t>
            </w:r>
          </w:p>
        </w:tc>
        <w:tc>
          <w:tcPr>
            <w:tcW w:w="1701" w:type="dxa"/>
            <w:noWrap w:val="0"/>
            <w:vAlign w:val="center"/>
          </w:tcPr>
          <w:p w14:paraId="1B85D926">
            <w:pPr>
              <w:jc w:val="center"/>
              <w:rPr>
                <w:sz w:val="24"/>
                <w:highlight w:val="none"/>
              </w:rPr>
            </w:pPr>
            <w:r>
              <w:rPr>
                <w:sz w:val="24"/>
                <w:highlight w:val="none"/>
              </w:rPr>
              <w:t>联系方式</w:t>
            </w:r>
          </w:p>
        </w:tc>
        <w:tc>
          <w:tcPr>
            <w:tcW w:w="7253" w:type="dxa"/>
            <w:noWrap w:val="0"/>
            <w:vAlign w:val="center"/>
          </w:tcPr>
          <w:p w14:paraId="7B2922E2">
            <w:pPr>
              <w:spacing w:line="240" w:lineRule="auto"/>
              <w:jc w:val="left"/>
              <w:rPr>
                <w:sz w:val="24"/>
                <w:highlight w:val="none"/>
              </w:rPr>
            </w:pPr>
            <w:r>
              <w:rPr>
                <w:sz w:val="24"/>
                <w:highlight w:val="none"/>
              </w:rPr>
              <w:t>接收询问和质疑的联系方式</w:t>
            </w:r>
          </w:p>
          <w:p w14:paraId="7D66E653">
            <w:pPr>
              <w:jc w:val="left"/>
              <w:rPr>
                <w:rFonts w:ascii="Times New Roman" w:hAnsi="Times New Roman" w:eastAsia="宋体" w:cs="Times New Roman"/>
                <w:sz w:val="24"/>
                <w:highlight w:val="none"/>
              </w:rPr>
            </w:pPr>
            <w:r>
              <w:rPr>
                <w:rFonts w:ascii="Times New Roman" w:hAnsi="Times New Roman" w:eastAsia="宋体" w:cs="Times New Roman"/>
                <w:sz w:val="24"/>
                <w:highlight w:val="none"/>
              </w:rPr>
              <w:t>联系部门：</w:t>
            </w:r>
            <w:r>
              <w:rPr>
                <w:rFonts w:hint="eastAsia" w:ascii="Times New Roman" w:hAnsi="Times New Roman" w:eastAsia="宋体" w:cs="Times New Roman"/>
                <w:sz w:val="24"/>
                <w:highlight w:val="none"/>
                <w:u w:val="single"/>
                <w:lang w:eastAsia="zh-CN"/>
              </w:rPr>
              <w:t>江苏华溯工程项目管理有限公司</w:t>
            </w:r>
            <w:r>
              <w:rPr>
                <w:rFonts w:ascii="Times New Roman" w:hAnsi="Times New Roman" w:eastAsia="宋体" w:cs="Times New Roman"/>
                <w:sz w:val="24"/>
                <w:highlight w:val="none"/>
              </w:rPr>
              <w:t>；</w:t>
            </w:r>
          </w:p>
          <w:p w14:paraId="55190620">
            <w:pPr>
              <w:jc w:val="left"/>
              <w:rPr>
                <w:rFonts w:ascii="Times New Roman" w:hAnsi="Times New Roman" w:eastAsia="宋体" w:cs="Times New Roman"/>
                <w:sz w:val="24"/>
                <w:highlight w:val="none"/>
              </w:rPr>
            </w:pPr>
            <w:r>
              <w:rPr>
                <w:rFonts w:ascii="Times New Roman" w:hAnsi="Times New Roman" w:eastAsia="宋体" w:cs="Times New Roman"/>
                <w:sz w:val="24"/>
                <w:highlight w:val="none"/>
              </w:rPr>
              <w:t>联系电话：</w:t>
            </w:r>
            <w:r>
              <w:rPr>
                <w:rFonts w:hint="eastAsia" w:ascii="Times New Roman" w:hAnsi="Times New Roman" w:eastAsia="宋体" w:cs="Times New Roman"/>
                <w:sz w:val="24"/>
                <w:highlight w:val="none"/>
                <w:u w:val="single"/>
                <w:lang w:val="en-US" w:eastAsia="zh-CN"/>
              </w:rPr>
              <w:t>0519-82807908</w:t>
            </w:r>
            <w:r>
              <w:rPr>
                <w:rFonts w:ascii="Times New Roman" w:hAnsi="Times New Roman" w:eastAsia="宋体" w:cs="Times New Roman"/>
                <w:sz w:val="24"/>
                <w:highlight w:val="none"/>
              </w:rPr>
              <w:t>；</w:t>
            </w:r>
          </w:p>
          <w:p w14:paraId="4BF8700D">
            <w:pPr>
              <w:spacing w:line="240" w:lineRule="auto"/>
              <w:jc w:val="left"/>
              <w:rPr>
                <w:sz w:val="24"/>
                <w:highlight w:val="none"/>
              </w:rPr>
            </w:pPr>
            <w:r>
              <w:rPr>
                <w:rFonts w:ascii="Times New Roman" w:hAnsi="Times New Roman" w:eastAsia="宋体" w:cs="Times New Roman"/>
                <w:sz w:val="24"/>
                <w:highlight w:val="none"/>
              </w:rPr>
              <w:t>通讯地址：</w:t>
            </w:r>
            <w:r>
              <w:rPr>
                <w:rFonts w:hint="eastAsia" w:ascii="Times New Roman" w:hAnsi="Times New Roman" w:eastAsia="宋体" w:cs="Times New Roman"/>
                <w:sz w:val="24"/>
                <w:highlight w:val="none"/>
                <w:u w:val="single"/>
              </w:rPr>
              <w:t>常州市金坛区金胜东路19号</w:t>
            </w:r>
            <w:r>
              <w:rPr>
                <w:rFonts w:ascii="Times New Roman" w:hAnsi="Times New Roman" w:eastAsia="宋体" w:cs="Times New Roman"/>
                <w:sz w:val="24"/>
                <w:highlight w:val="none"/>
              </w:rPr>
              <w:t>。</w:t>
            </w:r>
          </w:p>
        </w:tc>
      </w:tr>
      <w:tr w14:paraId="1759A50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 w:hRule="atLeast"/>
          <w:jc w:val="center"/>
        </w:trPr>
        <w:tc>
          <w:tcPr>
            <w:tcW w:w="988" w:type="dxa"/>
            <w:noWrap w:val="0"/>
            <w:vAlign w:val="center"/>
          </w:tcPr>
          <w:p w14:paraId="66BF8D94">
            <w:pPr>
              <w:pStyle w:val="224"/>
              <w:jc w:val="center"/>
              <w:rPr>
                <w:rFonts w:ascii="Times New Roman" w:hAnsi="Times New Roman" w:eastAsia="宋体"/>
                <w:sz w:val="24"/>
                <w:szCs w:val="24"/>
                <w:highlight w:val="none"/>
                <w:lang w:val="en-US" w:eastAsia="zh-CN"/>
              </w:rPr>
            </w:pPr>
            <w:r>
              <w:rPr>
                <w:rFonts w:hint="eastAsia" w:ascii="Times New Roman" w:hAnsi="Times New Roman"/>
                <w:sz w:val="24"/>
                <w:szCs w:val="24"/>
                <w:highlight w:val="none"/>
                <w:lang w:val="en-US" w:eastAsia="zh-CN"/>
              </w:rPr>
              <w:t>13</w:t>
            </w:r>
          </w:p>
        </w:tc>
        <w:tc>
          <w:tcPr>
            <w:tcW w:w="1701" w:type="dxa"/>
            <w:noWrap w:val="0"/>
            <w:vAlign w:val="center"/>
          </w:tcPr>
          <w:p w14:paraId="085EE11F">
            <w:pPr>
              <w:jc w:val="center"/>
              <w:rPr>
                <w:sz w:val="24"/>
                <w:highlight w:val="none"/>
              </w:rPr>
            </w:pPr>
            <w:r>
              <w:rPr>
                <w:sz w:val="24"/>
                <w:highlight w:val="none"/>
              </w:rPr>
              <w:t>代理费</w:t>
            </w:r>
          </w:p>
        </w:tc>
        <w:tc>
          <w:tcPr>
            <w:tcW w:w="7253" w:type="dxa"/>
            <w:noWrap w:val="0"/>
            <w:vAlign w:val="center"/>
          </w:tcPr>
          <w:p w14:paraId="1D573397">
            <w:pPr>
              <w:jc w:val="left"/>
              <w:rPr>
                <w:sz w:val="24"/>
                <w:highlight w:val="none"/>
              </w:rPr>
            </w:pPr>
            <w:r>
              <w:rPr>
                <w:sz w:val="24"/>
                <w:highlight w:val="none"/>
              </w:rPr>
              <w:t>收费对象：</w:t>
            </w:r>
          </w:p>
          <w:p w14:paraId="32351F19">
            <w:pPr>
              <w:jc w:val="left"/>
              <w:rPr>
                <w:sz w:val="24"/>
                <w:highlight w:val="none"/>
              </w:rPr>
            </w:pPr>
            <w:r>
              <w:rPr>
                <w:sz w:val="24"/>
                <w:highlight w:val="none"/>
              </w:rPr>
              <w:t>□采购人</w:t>
            </w:r>
          </w:p>
          <w:p w14:paraId="4CC23C1A">
            <w:pPr>
              <w:jc w:val="left"/>
              <w:rPr>
                <w:sz w:val="24"/>
                <w:highlight w:val="none"/>
              </w:rPr>
            </w:pPr>
            <w:r>
              <w:rPr>
                <w:rFonts w:hint="eastAsia"/>
                <w:sz w:val="24"/>
                <w:highlight w:val="none"/>
                <w:lang w:eastAsia="zh-CN"/>
              </w:rPr>
              <w:t>□</w:t>
            </w:r>
            <w:r>
              <w:rPr>
                <w:sz w:val="24"/>
                <w:highlight w:val="none"/>
              </w:rPr>
              <w:t>成交供应商</w:t>
            </w:r>
          </w:p>
          <w:p w14:paraId="54A20E66">
            <w:pPr>
              <w:jc w:val="left"/>
              <w:rPr>
                <w:sz w:val="24"/>
                <w:highlight w:val="none"/>
                <w:u w:val="single"/>
              </w:rPr>
            </w:pPr>
            <w:r>
              <w:rPr>
                <w:sz w:val="24"/>
                <w:highlight w:val="none"/>
              </w:rPr>
              <w:t>收费标准：</w:t>
            </w:r>
            <w:r>
              <w:rPr>
                <w:rFonts w:hint="eastAsia"/>
                <w:sz w:val="24"/>
                <w:highlight w:val="none"/>
                <w:u w:val="single"/>
                <w:lang w:val="en-US" w:eastAsia="zh-CN"/>
              </w:rPr>
              <w:t>本项目代理费为中标价的2.95‰，最低10000元</w:t>
            </w:r>
            <w:r>
              <w:rPr>
                <w:sz w:val="24"/>
                <w:highlight w:val="none"/>
              </w:rPr>
              <w:t>；</w:t>
            </w:r>
          </w:p>
          <w:p w14:paraId="1136D1AC">
            <w:pPr>
              <w:jc w:val="left"/>
              <w:rPr>
                <w:sz w:val="24"/>
                <w:highlight w:val="none"/>
              </w:rPr>
            </w:pPr>
            <w:r>
              <w:rPr>
                <w:sz w:val="24"/>
                <w:highlight w:val="none"/>
              </w:rPr>
              <w:t>缴纳时间：</w:t>
            </w:r>
            <w:r>
              <w:rPr>
                <w:rFonts w:hint="eastAsia"/>
                <w:sz w:val="24"/>
                <w:highlight w:val="none"/>
                <w:u w:val="single"/>
                <w:lang w:eastAsia="zh-CN"/>
              </w:rPr>
              <w:t>由成交供应商在领取成交通知书时一次性支付给招标代理单位，供应商在报价时应综合考虑</w:t>
            </w:r>
            <w:r>
              <w:rPr>
                <w:sz w:val="24"/>
                <w:highlight w:val="none"/>
              </w:rPr>
              <w:t xml:space="preserve">。          </w:t>
            </w:r>
          </w:p>
        </w:tc>
      </w:tr>
    </w:tbl>
    <w:p w14:paraId="11732D2F">
      <w:pPr>
        <w:tabs>
          <w:tab w:val="left" w:pos="5580"/>
        </w:tabs>
        <w:spacing w:line="360" w:lineRule="auto"/>
        <w:jc w:val="both"/>
        <w:rPr>
          <w:sz w:val="24"/>
          <w:highlight w:val="none"/>
        </w:rPr>
        <w:sectPr>
          <w:headerReference r:id="rId7" w:type="default"/>
          <w:footerReference r:id="rId8" w:type="default"/>
          <w:type w:val="nextColumn"/>
          <w:pgSz w:w="11907" w:h="16840"/>
          <w:pgMar w:top="1418" w:right="1134" w:bottom="1418" w:left="1701" w:header="851" w:footer="851" w:gutter="0"/>
          <w:cols w:space="1701" w:num="1"/>
          <w:titlePg/>
          <w:docGrid w:linePitch="360" w:charSpace="0"/>
        </w:sectPr>
      </w:pPr>
      <w:r>
        <w:rPr>
          <w:sz w:val="24"/>
          <w:highlight w:val="none"/>
        </w:rPr>
        <w:br w:type="page" w:clear="all"/>
      </w:r>
      <w:bookmarkStart w:id="749" w:name="_GoBack"/>
      <w:bookmarkEnd w:id="749"/>
    </w:p>
    <w:p w14:paraId="2B27FD1D">
      <w:pPr>
        <w:spacing w:before="240" w:after="240"/>
        <w:jc w:val="center"/>
        <w:rPr>
          <w:b/>
          <w:sz w:val="28"/>
          <w:szCs w:val="28"/>
          <w:highlight w:val="none"/>
        </w:rPr>
      </w:pPr>
      <w:bookmarkStart w:id="68" w:name="_Toc127151517"/>
      <w:bookmarkStart w:id="69" w:name="_Toc150480755"/>
      <w:bookmarkStart w:id="70" w:name="_Toc226965790"/>
      <w:bookmarkStart w:id="71" w:name="_Toc353825542"/>
      <w:bookmarkStart w:id="72" w:name="_Toc353873662"/>
      <w:bookmarkStart w:id="73" w:name="_Toc353873932"/>
      <w:bookmarkStart w:id="74" w:name="_Toc226337213"/>
      <w:bookmarkStart w:id="75" w:name="_Toc265228355"/>
      <w:bookmarkStart w:id="76" w:name="_Toc150774722"/>
      <w:bookmarkStart w:id="77" w:name="_Toc195842882"/>
      <w:bookmarkStart w:id="78" w:name="_Toc142311019"/>
      <w:bookmarkStart w:id="79" w:name="_Toc264969207"/>
      <w:bookmarkStart w:id="80" w:name="_Toc305158785"/>
      <w:bookmarkStart w:id="81" w:name="_Toc305158859"/>
      <w:r>
        <w:rPr>
          <w:b/>
          <w:sz w:val="28"/>
          <w:szCs w:val="28"/>
          <w:highlight w:val="none"/>
        </w:rPr>
        <w:t>供应商须知</w:t>
      </w:r>
      <w:bookmarkEnd w:id="68"/>
      <w:bookmarkEnd w:id="69"/>
      <w:bookmarkEnd w:id="70"/>
      <w:bookmarkEnd w:id="71"/>
      <w:bookmarkEnd w:id="72"/>
      <w:bookmarkEnd w:id="73"/>
      <w:bookmarkEnd w:id="74"/>
      <w:bookmarkEnd w:id="75"/>
      <w:bookmarkEnd w:id="76"/>
      <w:bookmarkEnd w:id="77"/>
      <w:bookmarkEnd w:id="78"/>
      <w:bookmarkEnd w:id="79"/>
      <w:bookmarkEnd w:id="80"/>
      <w:bookmarkEnd w:id="81"/>
    </w:p>
    <w:p w14:paraId="45FEAAB0">
      <w:pPr>
        <w:pStyle w:val="185"/>
        <w:tabs>
          <w:tab w:val="center" w:pos="4592"/>
          <w:tab w:val="left" w:pos="7860"/>
        </w:tabs>
        <w:spacing w:before="0" w:line="360" w:lineRule="auto"/>
        <w:jc w:val="left"/>
        <w:rPr>
          <w:rFonts w:ascii="Times New Roman" w:hAnsi="Times New Roman" w:eastAsia="宋体"/>
          <w:sz w:val="28"/>
          <w:highlight w:val="none"/>
        </w:rPr>
      </w:pPr>
      <w:bookmarkStart w:id="82" w:name="_Toc520356143"/>
      <w:bookmarkStart w:id="83" w:name="_Toc127151518"/>
      <w:r>
        <w:rPr>
          <w:rFonts w:ascii="Times New Roman" w:hAnsi="Times New Roman" w:eastAsia="宋体"/>
          <w:sz w:val="28"/>
          <w:highlight w:val="none"/>
        </w:rPr>
        <w:tab/>
      </w:r>
      <w:bookmarkStart w:id="84" w:name="_Toc264969208"/>
      <w:bookmarkStart w:id="85" w:name="_Toc226965708"/>
      <w:bookmarkStart w:id="86" w:name="_Toc151190145"/>
      <w:bookmarkStart w:id="87" w:name="_Toc142311020"/>
      <w:bookmarkStart w:id="88" w:name="_Toc226337214"/>
      <w:bookmarkStart w:id="89" w:name="_Toc150480756"/>
      <w:bookmarkStart w:id="90" w:name="_Toc151193832"/>
      <w:bookmarkStart w:id="91" w:name="_Toc195842883"/>
      <w:bookmarkStart w:id="92" w:name="_Toc305158786"/>
      <w:bookmarkStart w:id="93" w:name="_Toc151193688"/>
      <w:bookmarkStart w:id="94" w:name="_Toc150509269"/>
      <w:bookmarkStart w:id="95" w:name="_Toc226309762"/>
      <w:bookmarkStart w:id="96" w:name="_Toc305158860"/>
      <w:bookmarkStart w:id="97" w:name="_Toc150774618"/>
      <w:bookmarkStart w:id="98" w:name="_Toc151193616"/>
      <w:bookmarkStart w:id="99" w:name="_Toc151193760"/>
      <w:bookmarkStart w:id="100" w:name="_Toc151193906"/>
      <w:bookmarkStart w:id="101" w:name="_Toc265228356"/>
      <w:bookmarkStart w:id="102" w:name="_Toc226965791"/>
      <w:bookmarkStart w:id="103" w:name="_Toc150774723"/>
      <w:r>
        <w:rPr>
          <w:rFonts w:ascii="Times New Roman" w:hAnsi="Times New Roman" w:eastAsia="宋体"/>
          <w:sz w:val="28"/>
          <w:highlight w:val="none"/>
        </w:rPr>
        <w:t>一   说  明</w:t>
      </w:r>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r>
        <w:rPr>
          <w:rFonts w:ascii="Times New Roman" w:hAnsi="Times New Roman" w:eastAsia="宋体"/>
          <w:sz w:val="28"/>
          <w:highlight w:val="none"/>
        </w:rPr>
        <w:tab/>
      </w:r>
    </w:p>
    <w:p w14:paraId="59B8147A">
      <w:pPr>
        <w:numPr>
          <w:ilvl w:val="0"/>
          <w:numId w:val="8"/>
        </w:numPr>
        <w:tabs>
          <w:tab w:val="left" w:pos="360"/>
        </w:tabs>
        <w:spacing w:line="360" w:lineRule="auto"/>
        <w:ind w:left="357" w:hanging="357"/>
        <w:outlineLvl w:val="1"/>
        <w:rPr>
          <w:sz w:val="24"/>
          <w:highlight w:val="none"/>
        </w:rPr>
      </w:pPr>
      <w:bookmarkStart w:id="104" w:name="_Toc264969209"/>
      <w:bookmarkStart w:id="105" w:name="_Toc305158861"/>
      <w:bookmarkStart w:id="106" w:name="_Toc265228357"/>
      <w:bookmarkStart w:id="107" w:name="_Toc305158787"/>
      <w:r>
        <w:rPr>
          <w:sz w:val="24"/>
          <w:highlight w:val="none"/>
        </w:rPr>
        <w:t>采购人、采购代理机构、供应商（申请人）</w:t>
      </w:r>
      <w:bookmarkEnd w:id="104"/>
      <w:bookmarkEnd w:id="105"/>
      <w:bookmarkEnd w:id="106"/>
      <w:bookmarkEnd w:id="107"/>
      <w:r>
        <w:rPr>
          <w:sz w:val="24"/>
          <w:highlight w:val="none"/>
        </w:rPr>
        <w:t>、联合体</w:t>
      </w:r>
    </w:p>
    <w:p w14:paraId="12288FE1">
      <w:pPr>
        <w:numPr>
          <w:ilvl w:val="1"/>
          <w:numId w:val="8"/>
        </w:numPr>
        <w:tabs>
          <w:tab w:val="left" w:pos="1080"/>
          <w:tab w:val="left" w:pos="2014"/>
          <w:tab w:val="left" w:pos="5521"/>
        </w:tabs>
        <w:spacing w:line="360" w:lineRule="auto"/>
        <w:ind w:left="1080" w:hanging="720"/>
        <w:rPr>
          <w:sz w:val="24"/>
          <w:highlight w:val="none"/>
        </w:rPr>
      </w:pPr>
      <w:r>
        <w:rPr>
          <w:sz w:val="24"/>
          <w:highlight w:val="none"/>
        </w:rPr>
        <w:t>采购人、采购代理机构：指依法进行政府采购的国家机关、事业单位、团体组织，及其委托的采购代理机构。本项目采购人、采购代理机构见第一章《采购邀请》。</w:t>
      </w:r>
    </w:p>
    <w:p w14:paraId="04FDCE25">
      <w:pPr>
        <w:numPr>
          <w:ilvl w:val="1"/>
          <w:numId w:val="8"/>
        </w:numPr>
        <w:tabs>
          <w:tab w:val="left" w:pos="1080"/>
          <w:tab w:val="left" w:pos="2014"/>
          <w:tab w:val="left" w:pos="5521"/>
        </w:tabs>
        <w:spacing w:line="360" w:lineRule="auto"/>
        <w:ind w:left="1080" w:hanging="720"/>
        <w:rPr>
          <w:sz w:val="24"/>
          <w:highlight w:val="none"/>
        </w:rPr>
      </w:pPr>
      <w:r>
        <w:rPr>
          <w:sz w:val="24"/>
          <w:highlight w:val="none"/>
        </w:rPr>
        <w:t>供应商（也称“申请人”）：指向采购人提供货物、工程或者服务的法人、其他组织或者自然人。</w:t>
      </w:r>
    </w:p>
    <w:p w14:paraId="140AB5E3">
      <w:pPr>
        <w:numPr>
          <w:ilvl w:val="1"/>
          <w:numId w:val="8"/>
        </w:numPr>
        <w:tabs>
          <w:tab w:val="left" w:pos="1080"/>
          <w:tab w:val="left" w:pos="2014"/>
          <w:tab w:val="left" w:pos="5521"/>
        </w:tabs>
        <w:spacing w:line="360" w:lineRule="auto"/>
        <w:ind w:left="1080" w:hanging="720"/>
        <w:rPr>
          <w:sz w:val="24"/>
          <w:highlight w:val="none"/>
        </w:rPr>
      </w:pPr>
      <w:r>
        <w:rPr>
          <w:sz w:val="24"/>
          <w:highlight w:val="none"/>
        </w:rPr>
        <w:t>联合体：指两个以上的自然人、法人或者其他组织组成一个联合体，以一个供应商的身份共同参加政府采购。</w:t>
      </w:r>
    </w:p>
    <w:p w14:paraId="16BE6F9F">
      <w:pPr>
        <w:numPr>
          <w:ilvl w:val="0"/>
          <w:numId w:val="8"/>
        </w:numPr>
        <w:tabs>
          <w:tab w:val="left" w:pos="360"/>
        </w:tabs>
        <w:spacing w:line="360" w:lineRule="auto"/>
        <w:ind w:left="357" w:hanging="357"/>
        <w:outlineLvl w:val="1"/>
        <w:rPr>
          <w:sz w:val="24"/>
          <w:highlight w:val="none"/>
        </w:rPr>
      </w:pPr>
      <w:bookmarkStart w:id="108" w:name="_Toc151193908"/>
      <w:bookmarkStart w:id="109" w:name="_Toc305158788"/>
      <w:bookmarkStart w:id="110" w:name="_Toc164351614"/>
      <w:bookmarkStart w:id="111" w:name="_Toc164229361"/>
      <w:bookmarkStart w:id="112" w:name="_Toc151193618"/>
      <w:bookmarkStart w:id="113" w:name="_Toc151193762"/>
      <w:bookmarkStart w:id="114" w:name="_Toc226965793"/>
      <w:bookmarkStart w:id="115" w:name="_Toc150480758"/>
      <w:bookmarkStart w:id="116" w:name="_Toc226309764"/>
      <w:bookmarkStart w:id="117" w:name="_Toc265228358"/>
      <w:bookmarkStart w:id="118" w:name="_Toc127151721"/>
      <w:bookmarkStart w:id="119" w:name="_Toc151193690"/>
      <w:bookmarkStart w:id="120" w:name="_Toc164608634"/>
      <w:bookmarkStart w:id="121" w:name="_Toc127151520"/>
      <w:bookmarkStart w:id="122" w:name="_Toc151193834"/>
      <w:bookmarkStart w:id="123" w:name="_Toc150774725"/>
      <w:bookmarkStart w:id="124" w:name="_Toc150774620"/>
      <w:bookmarkStart w:id="125" w:name="_Toc150509271"/>
      <w:bookmarkStart w:id="126" w:name="_Toc226965710"/>
      <w:bookmarkStart w:id="127" w:name="_Toc164229215"/>
      <w:bookmarkStart w:id="128" w:name="_Toc264969210"/>
      <w:bookmarkStart w:id="129" w:name="_Toc127161434"/>
      <w:bookmarkStart w:id="130" w:name="_Toc164608789"/>
      <w:bookmarkStart w:id="131" w:name="_Toc149720813"/>
      <w:bookmarkStart w:id="132" w:name="_Toc305158862"/>
      <w:bookmarkStart w:id="133" w:name="_Toc142311022"/>
      <w:bookmarkStart w:id="134" w:name="_Toc226337216"/>
      <w:bookmarkStart w:id="135" w:name="_Toc151190147"/>
      <w:bookmarkStart w:id="136" w:name="_Toc195842885"/>
      <w:r>
        <w:rPr>
          <w:sz w:val="24"/>
          <w:highlight w:val="none"/>
        </w:rPr>
        <w:t>资金来源</w:t>
      </w:r>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r>
        <w:rPr>
          <w:sz w:val="24"/>
          <w:highlight w:val="none"/>
        </w:rPr>
        <w:t>、科研仪器设备采购</w:t>
      </w:r>
    </w:p>
    <w:p w14:paraId="72752924">
      <w:pPr>
        <w:numPr>
          <w:ilvl w:val="1"/>
          <w:numId w:val="8"/>
        </w:numPr>
        <w:tabs>
          <w:tab w:val="left" w:pos="1080"/>
          <w:tab w:val="left" w:pos="2014"/>
        </w:tabs>
        <w:spacing w:line="360" w:lineRule="auto"/>
        <w:ind w:left="1080" w:hanging="720"/>
        <w:rPr>
          <w:sz w:val="24"/>
          <w:highlight w:val="none"/>
        </w:rPr>
      </w:pPr>
      <w:r>
        <w:rPr>
          <w:sz w:val="24"/>
          <w:highlight w:val="none"/>
        </w:rPr>
        <w:t>资金来源为财政性资金和/或本项目采购中无法与财政性资金分割的非财政性资金。</w:t>
      </w:r>
    </w:p>
    <w:p w14:paraId="1C963F24">
      <w:pPr>
        <w:numPr>
          <w:ilvl w:val="1"/>
          <w:numId w:val="8"/>
        </w:numPr>
        <w:tabs>
          <w:tab w:val="left" w:pos="1080"/>
          <w:tab w:val="left" w:pos="2014"/>
        </w:tabs>
        <w:spacing w:line="360" w:lineRule="auto"/>
        <w:ind w:left="1080" w:hanging="720"/>
        <w:rPr>
          <w:sz w:val="24"/>
          <w:highlight w:val="none"/>
        </w:rPr>
      </w:pPr>
      <w:r>
        <w:rPr>
          <w:sz w:val="24"/>
          <w:highlight w:val="none"/>
        </w:rPr>
        <w:t>是否属于科研仪器设备采购见《供应商须知资料表》。</w:t>
      </w:r>
    </w:p>
    <w:p w14:paraId="5F0ADABD">
      <w:pPr>
        <w:numPr>
          <w:ilvl w:val="0"/>
          <w:numId w:val="8"/>
        </w:numPr>
        <w:tabs>
          <w:tab w:val="left" w:pos="360"/>
        </w:tabs>
        <w:spacing w:line="360" w:lineRule="auto"/>
        <w:ind w:left="357" w:hanging="357"/>
        <w:outlineLvl w:val="1"/>
        <w:rPr>
          <w:sz w:val="24"/>
          <w:highlight w:val="none"/>
        </w:rPr>
      </w:pPr>
      <w:bookmarkStart w:id="137" w:name="_Toc150509273"/>
      <w:bookmarkStart w:id="138" w:name="_Toc127151522"/>
      <w:bookmarkStart w:id="139" w:name="_Toc151193764"/>
      <w:bookmarkStart w:id="140" w:name="_Toc150774727"/>
      <w:bookmarkStart w:id="141" w:name="_Toc151193910"/>
      <w:bookmarkStart w:id="142" w:name="_Toc305158864"/>
      <w:bookmarkStart w:id="143" w:name="_Toc150774622"/>
      <w:bookmarkStart w:id="144" w:name="_Toc151193692"/>
      <w:bookmarkStart w:id="145" w:name="_Toc151190149"/>
      <w:bookmarkStart w:id="146" w:name="_Toc151193620"/>
      <w:bookmarkStart w:id="147" w:name="_Toc226309766"/>
      <w:bookmarkStart w:id="148" w:name="_Toc226965795"/>
      <w:bookmarkStart w:id="149" w:name="_Toc195842887"/>
      <w:bookmarkStart w:id="150" w:name="_Toc142311024"/>
      <w:bookmarkStart w:id="151" w:name="_Toc520356146"/>
      <w:bookmarkStart w:id="152" w:name="_Toc226965712"/>
      <w:bookmarkStart w:id="153" w:name="_Toc150480760"/>
      <w:bookmarkStart w:id="154" w:name="_Toc151193836"/>
      <w:bookmarkStart w:id="155" w:name="_Toc226337218"/>
      <w:bookmarkStart w:id="156" w:name="_Toc264969212"/>
      <w:bookmarkStart w:id="157" w:name="_Toc265228360"/>
      <w:bookmarkStart w:id="158" w:name="_Toc305158790"/>
      <w:r>
        <w:rPr>
          <w:sz w:val="24"/>
          <w:highlight w:val="none"/>
        </w:rPr>
        <w:t>政府采购政策（包括但不限于下列具体政策要求）</w:t>
      </w:r>
    </w:p>
    <w:p w14:paraId="15904420">
      <w:pPr>
        <w:numPr>
          <w:ilvl w:val="1"/>
          <w:numId w:val="8"/>
        </w:numPr>
        <w:tabs>
          <w:tab w:val="left" w:pos="1080"/>
          <w:tab w:val="left" w:pos="2014"/>
        </w:tabs>
        <w:spacing w:line="360" w:lineRule="auto"/>
        <w:ind w:left="1080" w:hanging="720"/>
        <w:rPr>
          <w:sz w:val="24"/>
          <w:highlight w:val="none"/>
        </w:rPr>
      </w:pPr>
      <w:r>
        <w:rPr>
          <w:sz w:val="24"/>
          <w:highlight w:val="none"/>
        </w:rPr>
        <w:t>进口产品</w:t>
      </w:r>
    </w:p>
    <w:p w14:paraId="343510CB">
      <w:pPr>
        <w:numPr>
          <w:ilvl w:val="2"/>
          <w:numId w:val="8"/>
        </w:numPr>
        <w:tabs>
          <w:tab w:val="left" w:pos="2014"/>
        </w:tabs>
        <w:spacing w:line="360" w:lineRule="auto"/>
        <w:rPr>
          <w:sz w:val="24"/>
          <w:highlight w:val="none"/>
        </w:rPr>
      </w:pPr>
      <w:r>
        <w:rPr>
          <w:sz w:val="24"/>
          <w:highlight w:val="none"/>
        </w:rPr>
        <w:t>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p>
    <w:p w14:paraId="148D2A95">
      <w:pPr>
        <w:numPr>
          <w:ilvl w:val="1"/>
          <w:numId w:val="8"/>
        </w:numPr>
        <w:tabs>
          <w:tab w:val="left" w:pos="1080"/>
          <w:tab w:val="left" w:pos="2014"/>
        </w:tabs>
        <w:spacing w:line="360" w:lineRule="auto"/>
        <w:ind w:left="1080" w:hanging="720"/>
        <w:rPr>
          <w:sz w:val="24"/>
          <w:highlight w:val="none"/>
        </w:rPr>
      </w:pPr>
      <w:r>
        <w:rPr>
          <w:sz w:val="24"/>
          <w:highlight w:val="none"/>
        </w:rPr>
        <w:t>中小企业、监狱企业及残疾人福利性单位</w:t>
      </w:r>
    </w:p>
    <w:p w14:paraId="5B776070">
      <w:pPr>
        <w:numPr>
          <w:ilvl w:val="2"/>
          <w:numId w:val="8"/>
        </w:numPr>
        <w:spacing w:line="360" w:lineRule="auto"/>
        <w:rPr>
          <w:sz w:val="24"/>
          <w:highlight w:val="none"/>
        </w:rPr>
      </w:pPr>
      <w:r>
        <w:rPr>
          <w:sz w:val="24"/>
          <w:highlight w:val="none"/>
        </w:rPr>
        <w:t>中小企业定义：</w:t>
      </w:r>
    </w:p>
    <w:p w14:paraId="690CCA7B">
      <w:pPr>
        <w:numPr>
          <w:ilvl w:val="3"/>
          <w:numId w:val="9"/>
        </w:numPr>
        <w:tabs>
          <w:tab w:val="left" w:pos="1589"/>
          <w:tab w:val="left" w:pos="1980"/>
          <w:tab w:val="left" w:pos="2035"/>
          <w:tab w:val="left" w:pos="2885"/>
          <w:tab w:val="left" w:pos="2977"/>
        </w:tabs>
        <w:spacing w:line="360" w:lineRule="auto"/>
        <w:ind w:left="2885"/>
        <w:rPr>
          <w:color w:val="000000"/>
          <w:sz w:val="24"/>
          <w:highlight w:val="none"/>
        </w:rPr>
      </w:pPr>
      <w:r>
        <w:rPr>
          <w:color w:val="000000"/>
          <w:sz w:val="24"/>
          <w:highlight w:val="none"/>
        </w:rPr>
        <w:t>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p>
    <w:p w14:paraId="4B8F6A9D">
      <w:pPr>
        <w:numPr>
          <w:ilvl w:val="3"/>
          <w:numId w:val="9"/>
        </w:numPr>
        <w:tabs>
          <w:tab w:val="left" w:pos="1980"/>
          <w:tab w:val="left" w:pos="2035"/>
          <w:tab w:val="left" w:pos="2885"/>
          <w:tab w:val="left" w:pos="2977"/>
        </w:tabs>
        <w:spacing w:line="360" w:lineRule="auto"/>
        <w:ind w:left="2885"/>
        <w:rPr>
          <w:color w:val="000000"/>
          <w:sz w:val="24"/>
          <w:highlight w:val="none"/>
        </w:rPr>
      </w:pPr>
      <w:r>
        <w:rPr>
          <w:sz w:val="24"/>
          <w:highlight w:val="none"/>
        </w:rPr>
        <w:t>供应商提供的货物、工程或者服务符合下列情形的，享受中小企业扶持政策：</w:t>
      </w:r>
    </w:p>
    <w:p w14:paraId="470DA154">
      <w:pPr>
        <w:tabs>
          <w:tab w:val="left" w:pos="1980"/>
        </w:tabs>
        <w:spacing w:line="360" w:lineRule="auto"/>
        <w:ind w:left="2835"/>
        <w:rPr>
          <w:color w:val="000000"/>
          <w:sz w:val="24"/>
          <w:highlight w:val="none"/>
        </w:rPr>
      </w:pPr>
      <w:r>
        <w:rPr>
          <w:color w:val="000000"/>
          <w:sz w:val="24"/>
          <w:highlight w:val="none"/>
        </w:rPr>
        <w:t>（1）在货物采购项目中，货物由中小企业制造，即货物由中小企业生产且使用该中小企业商号或者注册商标；</w:t>
      </w:r>
    </w:p>
    <w:p w14:paraId="2BE8B914">
      <w:pPr>
        <w:tabs>
          <w:tab w:val="left" w:pos="1980"/>
        </w:tabs>
        <w:spacing w:line="360" w:lineRule="auto"/>
        <w:ind w:left="2835"/>
        <w:rPr>
          <w:color w:val="000000"/>
          <w:sz w:val="24"/>
          <w:highlight w:val="none"/>
        </w:rPr>
      </w:pPr>
      <w:r>
        <w:rPr>
          <w:color w:val="000000"/>
          <w:sz w:val="24"/>
          <w:highlight w:val="none"/>
        </w:rPr>
        <w:t>（2）在工程采购项目中，工程由中小企业承建，即工程施工单位为中小企业；</w:t>
      </w:r>
    </w:p>
    <w:p w14:paraId="7139A1C7">
      <w:pPr>
        <w:tabs>
          <w:tab w:val="left" w:pos="1980"/>
        </w:tabs>
        <w:spacing w:line="360" w:lineRule="auto"/>
        <w:ind w:left="2835"/>
        <w:rPr>
          <w:color w:val="000000"/>
          <w:sz w:val="24"/>
          <w:highlight w:val="none"/>
        </w:rPr>
      </w:pPr>
      <w:r>
        <w:rPr>
          <w:color w:val="000000"/>
          <w:sz w:val="24"/>
          <w:highlight w:val="none"/>
        </w:rPr>
        <w:t>（3）在服务采购项目中，服务由中小企业承接，即提供服务的人员为中小企业依照《中华人民共和国劳动</w:t>
      </w:r>
      <w:r>
        <w:rPr>
          <w:rFonts w:hint="eastAsia"/>
          <w:color w:val="000000"/>
          <w:sz w:val="24"/>
          <w:highlight w:val="none"/>
        </w:rPr>
        <w:t>合同法</w:t>
      </w:r>
      <w:r>
        <w:rPr>
          <w:color w:val="000000"/>
          <w:sz w:val="24"/>
          <w:highlight w:val="none"/>
        </w:rPr>
        <w:t>》订立劳动合同的从业人员。</w:t>
      </w:r>
    </w:p>
    <w:p w14:paraId="73AC6BE8">
      <w:pPr>
        <w:numPr>
          <w:ilvl w:val="3"/>
          <w:numId w:val="9"/>
        </w:numPr>
        <w:tabs>
          <w:tab w:val="left" w:pos="1980"/>
          <w:tab w:val="left" w:pos="2035"/>
          <w:tab w:val="left" w:pos="2885"/>
          <w:tab w:val="left" w:pos="2977"/>
        </w:tabs>
        <w:spacing w:line="360" w:lineRule="auto"/>
        <w:ind w:left="2885"/>
        <w:rPr>
          <w:sz w:val="24"/>
          <w:highlight w:val="none"/>
        </w:rPr>
      </w:pPr>
      <w:r>
        <w:rPr>
          <w:sz w:val="24"/>
          <w:highlight w:val="none"/>
        </w:rPr>
        <w:t>在货物采购项目中，供应商提供的货物既有中小企业制造货物，也有大型企业制造货物的，不享受中小企业扶持政策。</w:t>
      </w:r>
    </w:p>
    <w:p w14:paraId="42B64B50">
      <w:pPr>
        <w:numPr>
          <w:ilvl w:val="3"/>
          <w:numId w:val="9"/>
        </w:numPr>
        <w:tabs>
          <w:tab w:val="left" w:pos="1980"/>
          <w:tab w:val="left" w:pos="2035"/>
          <w:tab w:val="left" w:pos="2885"/>
          <w:tab w:val="left" w:pos="2977"/>
        </w:tabs>
        <w:spacing w:line="360" w:lineRule="auto"/>
        <w:ind w:left="2885"/>
        <w:rPr>
          <w:sz w:val="24"/>
          <w:highlight w:val="none"/>
        </w:rPr>
      </w:pPr>
      <w:r>
        <w:rPr>
          <w:color w:val="000000"/>
          <w:sz w:val="24"/>
          <w:highlight w:val="none"/>
        </w:rPr>
        <w:t>以联合体形式参加政府采购活动，联合体各方均为中小企业的，联合体视同中小企业。其中，联合体各方均为小微企业的，联合体视同小微企业。</w:t>
      </w:r>
    </w:p>
    <w:p w14:paraId="3500C571">
      <w:pPr>
        <w:numPr>
          <w:ilvl w:val="2"/>
          <w:numId w:val="8"/>
        </w:numPr>
        <w:spacing w:line="360" w:lineRule="auto"/>
        <w:rPr>
          <w:sz w:val="24"/>
          <w:highlight w:val="none"/>
        </w:rPr>
      </w:pPr>
      <w:r>
        <w:rPr>
          <w:sz w:val="24"/>
          <w:highlight w:val="none"/>
        </w:rPr>
        <w:t>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6CD81064">
      <w:pPr>
        <w:numPr>
          <w:ilvl w:val="2"/>
          <w:numId w:val="8"/>
        </w:numPr>
        <w:spacing w:line="360" w:lineRule="auto"/>
        <w:rPr>
          <w:sz w:val="24"/>
          <w:highlight w:val="none"/>
        </w:rPr>
      </w:pPr>
      <w:r>
        <w:rPr>
          <w:sz w:val="24"/>
          <w:highlight w:val="none"/>
        </w:rPr>
        <w:t>残疾人福利单位定义：享受政府采购支持政策的残疾人福利性单位应当同时满足以下条件：</w:t>
      </w:r>
    </w:p>
    <w:p w14:paraId="4A2ED14B">
      <w:pPr>
        <w:numPr>
          <w:ilvl w:val="3"/>
          <w:numId w:val="10"/>
        </w:numPr>
        <w:tabs>
          <w:tab w:val="left" w:pos="1980"/>
          <w:tab w:val="left" w:pos="2035"/>
          <w:tab w:val="left" w:pos="2977"/>
        </w:tabs>
        <w:spacing w:line="360" w:lineRule="auto"/>
        <w:ind w:left="2885"/>
        <w:rPr>
          <w:sz w:val="24"/>
          <w:highlight w:val="none"/>
        </w:rPr>
      </w:pPr>
      <w:r>
        <w:rPr>
          <w:sz w:val="24"/>
          <w:highlight w:val="none"/>
        </w:rPr>
        <w:t>安置的残疾人占本单位在职职工人数的比例不低于25%（含25%），并且安置的残疾人人数不少于10人（含10人）；</w:t>
      </w:r>
    </w:p>
    <w:p w14:paraId="7FDFFF58">
      <w:pPr>
        <w:numPr>
          <w:ilvl w:val="3"/>
          <w:numId w:val="10"/>
        </w:numPr>
        <w:tabs>
          <w:tab w:val="left" w:pos="1980"/>
          <w:tab w:val="left" w:pos="2035"/>
          <w:tab w:val="left" w:pos="2977"/>
        </w:tabs>
        <w:spacing w:line="360" w:lineRule="auto"/>
        <w:ind w:left="2885"/>
        <w:rPr>
          <w:color w:val="000000"/>
          <w:sz w:val="24"/>
          <w:highlight w:val="none"/>
        </w:rPr>
      </w:pPr>
      <w:r>
        <w:rPr>
          <w:sz w:val="24"/>
          <w:highlight w:val="none"/>
        </w:rPr>
        <w:t>依法与安置的每位残疾人签订了一年以上（含一年）的劳动合同或服务协议；</w:t>
      </w:r>
    </w:p>
    <w:p w14:paraId="52CFE2AA">
      <w:pPr>
        <w:numPr>
          <w:ilvl w:val="3"/>
          <w:numId w:val="10"/>
        </w:numPr>
        <w:tabs>
          <w:tab w:val="left" w:pos="1980"/>
          <w:tab w:val="left" w:pos="2035"/>
          <w:tab w:val="left" w:pos="2977"/>
        </w:tabs>
        <w:spacing w:line="360" w:lineRule="auto"/>
        <w:ind w:left="2885"/>
        <w:rPr>
          <w:color w:val="000000"/>
          <w:sz w:val="24"/>
          <w:highlight w:val="none"/>
        </w:rPr>
      </w:pPr>
      <w:r>
        <w:rPr>
          <w:sz w:val="24"/>
          <w:highlight w:val="none"/>
        </w:rPr>
        <w:t>为安置的每位残疾人按月足额缴纳了基本养老保险、基本医疗保险、失业保险、工伤保险和生育保险等社会保险费；</w:t>
      </w:r>
    </w:p>
    <w:p w14:paraId="5B90A25C">
      <w:pPr>
        <w:numPr>
          <w:ilvl w:val="3"/>
          <w:numId w:val="10"/>
        </w:numPr>
        <w:tabs>
          <w:tab w:val="left" w:pos="1980"/>
          <w:tab w:val="left" w:pos="2035"/>
          <w:tab w:val="left" w:pos="2977"/>
        </w:tabs>
        <w:spacing w:line="360" w:lineRule="auto"/>
        <w:ind w:left="2885"/>
        <w:rPr>
          <w:color w:val="000000"/>
          <w:sz w:val="24"/>
          <w:highlight w:val="none"/>
        </w:rPr>
      </w:pPr>
      <w:r>
        <w:rPr>
          <w:sz w:val="24"/>
          <w:highlight w:val="none"/>
        </w:rPr>
        <w:t>通过银行等金融机构向安置的每位残疾人，按月支付了不低于单位所在区县适用的经省级人民政府批准的月最低工资标准的工资；</w:t>
      </w:r>
    </w:p>
    <w:p w14:paraId="1F86820D">
      <w:pPr>
        <w:numPr>
          <w:ilvl w:val="3"/>
          <w:numId w:val="10"/>
        </w:numPr>
        <w:tabs>
          <w:tab w:val="left" w:pos="1980"/>
          <w:tab w:val="left" w:pos="2035"/>
          <w:tab w:val="left" w:pos="2977"/>
        </w:tabs>
        <w:spacing w:line="360" w:lineRule="auto"/>
        <w:ind w:left="2885"/>
        <w:rPr>
          <w:color w:val="000000"/>
          <w:sz w:val="24"/>
          <w:highlight w:val="none"/>
        </w:rPr>
      </w:pPr>
      <w:r>
        <w:rPr>
          <w:sz w:val="24"/>
          <w:highlight w:val="none"/>
        </w:rPr>
        <w:t>提供本单位制造的货物、承担的工程或者服务（以下简称产品），或者提供其他残疾人福利性单位制造的货物（不包括使用非残疾人福利性单位注册商标的货物）；</w:t>
      </w:r>
    </w:p>
    <w:p w14:paraId="147887C6">
      <w:pPr>
        <w:numPr>
          <w:ilvl w:val="3"/>
          <w:numId w:val="10"/>
        </w:numPr>
        <w:tabs>
          <w:tab w:val="left" w:pos="1980"/>
          <w:tab w:val="left" w:pos="2035"/>
          <w:tab w:val="left" w:pos="2977"/>
        </w:tabs>
        <w:spacing w:line="360" w:lineRule="auto"/>
        <w:ind w:left="2885"/>
        <w:rPr>
          <w:color w:val="000000"/>
          <w:sz w:val="24"/>
          <w:highlight w:val="none"/>
        </w:rPr>
      </w:pPr>
      <w:r>
        <w:rPr>
          <w:sz w:val="24"/>
          <w:highlight w:val="none"/>
        </w:rPr>
        <w:t>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p>
    <w:p w14:paraId="08525306">
      <w:pPr>
        <w:numPr>
          <w:ilvl w:val="2"/>
          <w:numId w:val="8"/>
        </w:numPr>
        <w:spacing w:line="360" w:lineRule="auto"/>
        <w:rPr>
          <w:sz w:val="24"/>
          <w:highlight w:val="none"/>
        </w:rPr>
      </w:pPr>
      <w:r>
        <w:rPr>
          <w:sz w:val="24"/>
          <w:highlight w:val="none"/>
        </w:rPr>
        <w:t>本项目是否专门面向中小企业预留采购份额见第一章《采购邀请》。</w:t>
      </w:r>
    </w:p>
    <w:p w14:paraId="5E38F75B">
      <w:pPr>
        <w:numPr>
          <w:ilvl w:val="2"/>
          <w:numId w:val="8"/>
        </w:numPr>
        <w:spacing w:line="360" w:lineRule="auto"/>
        <w:rPr>
          <w:sz w:val="24"/>
          <w:highlight w:val="none"/>
        </w:rPr>
      </w:pPr>
      <w:r>
        <w:rPr>
          <w:sz w:val="24"/>
          <w:highlight w:val="none"/>
        </w:rPr>
        <w:t>采购标的对应的中小企业划分标准所属行业见《供应商须知资料表》。</w:t>
      </w:r>
    </w:p>
    <w:p w14:paraId="6BDC1229">
      <w:pPr>
        <w:numPr>
          <w:ilvl w:val="2"/>
          <w:numId w:val="8"/>
        </w:numPr>
        <w:spacing w:line="360" w:lineRule="auto"/>
        <w:rPr>
          <w:sz w:val="24"/>
          <w:highlight w:val="none"/>
        </w:rPr>
      </w:pPr>
      <w:r>
        <w:rPr>
          <w:sz w:val="24"/>
          <w:highlight w:val="none"/>
        </w:rPr>
        <w:t>小微企业价格评审优惠的政策调整：不适用。</w:t>
      </w:r>
    </w:p>
    <w:p w14:paraId="3A6EEA22">
      <w:pPr>
        <w:numPr>
          <w:ilvl w:val="1"/>
          <w:numId w:val="8"/>
        </w:numPr>
        <w:tabs>
          <w:tab w:val="left" w:pos="1080"/>
          <w:tab w:val="left" w:pos="2014"/>
        </w:tabs>
        <w:spacing w:line="360" w:lineRule="auto"/>
        <w:ind w:left="1080" w:hanging="720"/>
        <w:rPr>
          <w:sz w:val="24"/>
          <w:highlight w:val="none"/>
        </w:rPr>
      </w:pPr>
      <w:r>
        <w:rPr>
          <w:sz w:val="24"/>
          <w:highlight w:val="none"/>
        </w:rPr>
        <w:t>政府采购节能产品、环境标志产品</w:t>
      </w:r>
    </w:p>
    <w:p w14:paraId="40F8EAED">
      <w:pPr>
        <w:numPr>
          <w:ilvl w:val="2"/>
          <w:numId w:val="8"/>
        </w:numPr>
        <w:spacing w:line="360" w:lineRule="auto"/>
        <w:rPr>
          <w:sz w:val="24"/>
          <w:highlight w:val="none"/>
        </w:rPr>
      </w:pPr>
      <w:r>
        <w:rPr>
          <w:sz w:val="24"/>
          <w:highlight w:val="none"/>
        </w:rPr>
        <w:t>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p>
    <w:p w14:paraId="12C741DB">
      <w:pPr>
        <w:numPr>
          <w:ilvl w:val="2"/>
          <w:numId w:val="8"/>
        </w:numPr>
        <w:spacing w:line="360" w:lineRule="auto"/>
        <w:rPr>
          <w:sz w:val="24"/>
          <w:highlight w:val="none"/>
        </w:rPr>
      </w:pPr>
      <w:r>
        <w:rPr>
          <w:sz w:val="24"/>
          <w:highlight w:val="none"/>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p>
    <w:p w14:paraId="33C09498">
      <w:pPr>
        <w:numPr>
          <w:ilvl w:val="2"/>
          <w:numId w:val="8"/>
        </w:numPr>
        <w:spacing w:line="360" w:lineRule="auto"/>
        <w:rPr>
          <w:sz w:val="24"/>
          <w:highlight w:val="none"/>
        </w:rPr>
      </w:pPr>
      <w:r>
        <w:rPr>
          <w:sz w:val="24"/>
          <w:highlight w:val="none"/>
        </w:rPr>
        <w:t>如本项目采购产品属于实施政府强制采购品目清单范围的节能产品，则供应商所报产品必须获得国家确定的认证机构出具的、处于有效期之内的节能产品认证证书，否则</w:t>
      </w:r>
      <w:r>
        <w:rPr>
          <w:b/>
          <w:sz w:val="24"/>
          <w:highlight w:val="none"/>
        </w:rPr>
        <w:t>响应无效</w:t>
      </w:r>
      <w:r>
        <w:rPr>
          <w:sz w:val="24"/>
          <w:highlight w:val="none"/>
        </w:rPr>
        <w:t>；</w:t>
      </w:r>
    </w:p>
    <w:p w14:paraId="4F916CA0">
      <w:pPr>
        <w:numPr>
          <w:ilvl w:val="2"/>
          <w:numId w:val="8"/>
        </w:numPr>
        <w:spacing w:line="360" w:lineRule="auto"/>
        <w:rPr>
          <w:rFonts w:hint="eastAsia"/>
          <w:sz w:val="24"/>
          <w:highlight w:val="none"/>
        </w:rPr>
      </w:pPr>
      <w:r>
        <w:rPr>
          <w:sz w:val="24"/>
          <w:highlight w:val="none"/>
        </w:rPr>
        <w:t>非政府强制采购的节能产品或环境标志产品，依据品目清单和认证证书实施政府优先采购。如涉及，供应商优先提供此类产品。</w:t>
      </w:r>
    </w:p>
    <w:p w14:paraId="3A0E88C9">
      <w:pPr>
        <w:numPr>
          <w:ilvl w:val="2"/>
          <w:numId w:val="8"/>
        </w:numPr>
        <w:tabs>
          <w:tab w:val="left" w:pos="2014"/>
        </w:tabs>
        <w:spacing w:line="360" w:lineRule="auto"/>
        <w:rPr>
          <w:sz w:val="24"/>
          <w:highlight w:val="none"/>
        </w:rPr>
      </w:pPr>
      <w:r>
        <w:rPr>
          <w:rFonts w:hint="eastAsia"/>
          <w:sz w:val="24"/>
          <w:highlight w:val="none"/>
        </w:rPr>
        <w:t>依据</w:t>
      </w:r>
      <w:r>
        <w:rPr>
          <w:sz w:val="24"/>
          <w:highlight w:val="none"/>
        </w:rPr>
        <w:t>《关于印发〈商品包装政府采购需求标准（试行）〉、〈快递包装政府采购需求标准（试行）〉的通知》（财办库〔2020〕123号）</w:t>
      </w:r>
      <w:r>
        <w:rPr>
          <w:rFonts w:hint="eastAsia"/>
          <w:sz w:val="24"/>
          <w:highlight w:val="none"/>
        </w:rPr>
        <w:t>文件</w:t>
      </w:r>
      <w:r>
        <w:rPr>
          <w:sz w:val="24"/>
          <w:highlight w:val="none"/>
        </w:rPr>
        <w:t>精神</w:t>
      </w:r>
      <w:r>
        <w:rPr>
          <w:rFonts w:hint="eastAsia"/>
          <w:sz w:val="24"/>
          <w:highlight w:val="none"/>
        </w:rPr>
        <w:t>，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p>
    <w:p w14:paraId="0FA1CCCC">
      <w:pPr>
        <w:numPr>
          <w:ilvl w:val="1"/>
          <w:numId w:val="8"/>
        </w:numPr>
        <w:tabs>
          <w:tab w:val="left" w:pos="1080"/>
          <w:tab w:val="left" w:pos="2014"/>
        </w:tabs>
        <w:spacing w:line="360" w:lineRule="auto"/>
        <w:ind w:left="1080" w:hanging="720"/>
        <w:rPr>
          <w:sz w:val="24"/>
          <w:highlight w:val="none"/>
        </w:rPr>
      </w:pPr>
      <w:r>
        <w:rPr>
          <w:sz w:val="24"/>
          <w:highlight w:val="none"/>
        </w:rPr>
        <w:t>支持乡村产业振兴管理</w:t>
      </w:r>
    </w:p>
    <w:p w14:paraId="16924290">
      <w:pPr>
        <w:numPr>
          <w:ilvl w:val="2"/>
          <w:numId w:val="8"/>
        </w:numPr>
        <w:tabs>
          <w:tab w:val="left" w:pos="2014"/>
        </w:tabs>
        <w:spacing w:line="360" w:lineRule="auto"/>
        <w:rPr>
          <w:sz w:val="24"/>
          <w:highlight w:val="none"/>
        </w:rPr>
      </w:pPr>
      <w:r>
        <w:rPr>
          <w:sz w:val="24"/>
          <w:highlight w:val="none"/>
        </w:rPr>
        <w:t>为落实《关于运用政府采购政策支持乡村产业振兴的通知》（财库〔2021〕19号）有关要求，做好支持脱贫攻坚工作，本项目采购活动中对于支持乡村振兴管理的相关要求见第四章《采购需求》（如涉及）。</w:t>
      </w:r>
    </w:p>
    <w:p w14:paraId="30347849">
      <w:pPr>
        <w:numPr>
          <w:ilvl w:val="1"/>
          <w:numId w:val="8"/>
        </w:numPr>
        <w:tabs>
          <w:tab w:val="left" w:pos="1080"/>
          <w:tab w:val="left" w:pos="2014"/>
        </w:tabs>
        <w:spacing w:line="360" w:lineRule="auto"/>
        <w:ind w:left="1080" w:hanging="720"/>
        <w:rPr>
          <w:sz w:val="24"/>
          <w:highlight w:val="none"/>
        </w:rPr>
      </w:pPr>
      <w:r>
        <w:rPr>
          <w:sz w:val="24"/>
          <w:highlight w:val="none"/>
        </w:rPr>
        <w:t>正版软件</w:t>
      </w:r>
    </w:p>
    <w:p w14:paraId="52F03139">
      <w:pPr>
        <w:numPr>
          <w:ilvl w:val="2"/>
          <w:numId w:val="8"/>
        </w:numPr>
        <w:spacing w:line="360" w:lineRule="auto"/>
        <w:rPr>
          <w:sz w:val="24"/>
          <w:highlight w:val="none"/>
        </w:rPr>
      </w:pPr>
      <w:r>
        <w:rPr>
          <w:sz w:val="24"/>
          <w:highlight w:val="none"/>
        </w:rPr>
        <w:t>依据《财政部 国家发展改革委 信息产业部关于印发无线局域网产品政府采购实施意见的通知》（财库〔2005〕366号），采购无线局域网产品和含有无线局域网功能的计算机、通信设备、打印机、复印机、投影仪等产品的，优先采购符合国家无线局域网安全标准（GB 15629.11/1102）并通过国家产品认证的产品，其中，国家有特殊信息安全要求的项目必须采购认证产品，否则</w:t>
      </w:r>
      <w:r>
        <w:rPr>
          <w:b/>
          <w:sz w:val="24"/>
          <w:highlight w:val="none"/>
        </w:rPr>
        <w:t>响应无效</w:t>
      </w:r>
      <w:r>
        <w:rPr>
          <w:sz w:val="24"/>
          <w:highlight w:val="none"/>
        </w:rPr>
        <w:t>。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p>
    <w:p w14:paraId="2E595AD5">
      <w:pPr>
        <w:numPr>
          <w:ilvl w:val="2"/>
          <w:numId w:val="8"/>
        </w:numPr>
        <w:spacing w:line="360" w:lineRule="auto"/>
        <w:rPr>
          <w:sz w:val="24"/>
          <w:highlight w:val="none"/>
        </w:rPr>
      </w:pPr>
      <w:r>
        <w:rPr>
          <w:sz w:val="24"/>
          <w:highlight w:val="none"/>
        </w:rPr>
        <w:t>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号）、《国务院办公厅关于进一步做好政府机关使用正版软件工作的通知》（国办发〔2010〕47号）、《财政部关于进一步做好政府机关使用正版软件工作的通知》（财预〔2010〕536号）。</w:t>
      </w:r>
    </w:p>
    <w:p w14:paraId="0E01E12A">
      <w:pPr>
        <w:numPr>
          <w:ilvl w:val="1"/>
          <w:numId w:val="8"/>
        </w:numPr>
        <w:tabs>
          <w:tab w:val="left" w:pos="1080"/>
          <w:tab w:val="left" w:pos="2014"/>
        </w:tabs>
        <w:spacing w:line="360" w:lineRule="auto"/>
        <w:ind w:left="1080" w:hanging="720"/>
        <w:rPr>
          <w:rFonts w:hint="eastAsia"/>
          <w:sz w:val="24"/>
          <w:highlight w:val="none"/>
        </w:rPr>
      </w:pPr>
      <w:r>
        <w:rPr>
          <w:rFonts w:hint="eastAsia"/>
          <w:sz w:val="24"/>
          <w:highlight w:val="none"/>
        </w:rPr>
        <w:t>政府采购创新产品政策</w:t>
      </w:r>
    </w:p>
    <w:p w14:paraId="3A50A724">
      <w:pPr>
        <w:numPr>
          <w:ilvl w:val="2"/>
          <w:numId w:val="8"/>
        </w:numPr>
        <w:tabs>
          <w:tab w:val="left" w:pos="2014"/>
        </w:tabs>
        <w:spacing w:line="360" w:lineRule="auto"/>
        <w:rPr>
          <w:sz w:val="24"/>
          <w:highlight w:val="none"/>
        </w:rPr>
      </w:pPr>
      <w:r>
        <w:rPr>
          <w:rFonts w:hint="eastAsia"/>
          <w:sz w:val="24"/>
          <w:highlight w:val="none"/>
        </w:rPr>
        <w:t>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w:t>
      </w:r>
    </w:p>
    <w:p w14:paraId="0E740C07">
      <w:pPr>
        <w:spacing w:line="480" w:lineRule="exact"/>
        <w:ind w:firstLine="240"/>
        <w:rPr>
          <w:sz w:val="24"/>
          <w:highlight w:val="none"/>
        </w:rPr>
      </w:pPr>
      <w:r>
        <w:rPr>
          <w:rFonts w:hint="eastAsia"/>
          <w:sz w:val="24"/>
          <w:highlight w:val="none"/>
        </w:rPr>
        <w:t>3.7 绿色采购政策</w:t>
      </w:r>
    </w:p>
    <w:p w14:paraId="78409CED">
      <w:pPr>
        <w:spacing w:line="480" w:lineRule="exact"/>
        <w:ind w:left="900"/>
        <w:rPr>
          <w:rFonts w:ascii="宋体" w:hAnsi="宋体"/>
          <w:b/>
          <w:sz w:val="24"/>
          <w:highlight w:val="none"/>
        </w:rPr>
      </w:pPr>
      <w:r>
        <w:rPr>
          <w:rFonts w:hint="eastAsia"/>
          <w:sz w:val="24"/>
          <w:highlight w:val="none"/>
        </w:rPr>
        <w:t xml:space="preserve">3.7.1  </w:t>
      </w:r>
      <w:r>
        <w:rPr>
          <w:rFonts w:hint="eastAsia" w:ascii="宋体" w:hAnsi="宋体"/>
          <w:b/>
          <w:sz w:val="24"/>
          <w:highlight w:val="none"/>
        </w:rPr>
        <w:t xml:space="preserve">绿色数据中心政策 </w:t>
      </w:r>
    </w:p>
    <w:p w14:paraId="21AA048D">
      <w:pPr>
        <w:spacing w:line="480" w:lineRule="exact"/>
        <w:ind w:left="900"/>
        <w:rPr>
          <w:rFonts w:ascii="宋体" w:hAnsi="宋体"/>
          <w:sz w:val="24"/>
        </w:rPr>
      </w:pPr>
      <w:r>
        <w:rPr>
          <w:rFonts w:hint="eastAsia" w:ascii="宋体" w:hAnsi="宋体"/>
          <w:sz w:val="24"/>
          <w:highlight w:val="none"/>
        </w:rPr>
        <w:t>依据《绿色数据中心政府采购需求标准（试行）》（财办库〔2023〕7 号）文件精神，采购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w:t>
      </w:r>
      <w:r>
        <w:rPr>
          <w:rFonts w:hint="eastAsia" w:ascii="宋体" w:hAnsi="宋体"/>
          <w:sz w:val="24"/>
        </w:rPr>
        <w:t>必要时可委托取得相关资质的第三方机构对其进行检测、认证。因检测、认证涉及生产过程或检测时间长等原因，不能在验收过程中开展检测、认证的，可要求供应商在验收阶段提供相关检测报告、认证报告。</w:t>
      </w:r>
    </w:p>
    <w:p w14:paraId="7518C1D7">
      <w:pPr>
        <w:spacing w:line="480" w:lineRule="exact"/>
        <w:ind w:left="900"/>
        <w:rPr>
          <w:rFonts w:ascii="宋体" w:hAnsi="宋体"/>
          <w:sz w:val="24"/>
        </w:rPr>
      </w:pPr>
      <w:r>
        <w:rPr>
          <w:rFonts w:hint="eastAsia" w:ascii="宋体" w:hAnsi="宋体"/>
          <w:sz w:val="24"/>
        </w:rPr>
        <w:t>3.7.2 推广应用绿色建材</w:t>
      </w:r>
    </w:p>
    <w:p w14:paraId="77F72786">
      <w:pPr>
        <w:spacing w:line="480" w:lineRule="exact"/>
        <w:ind w:left="900"/>
        <w:rPr>
          <w:rFonts w:ascii="宋体" w:hAnsi="宋体"/>
          <w:sz w:val="24"/>
        </w:rPr>
      </w:pPr>
      <w:r>
        <w:rPr>
          <w:rFonts w:hint="eastAsia" w:ascii="宋体" w:hAnsi="宋体"/>
          <w:sz w:val="24"/>
        </w:rPr>
        <w:t>采购人实施政府采购工程项目，要按照《常州市政府采购支持绿色建材促进建筑品质提升试点工作方案》（</w:t>
      </w:r>
      <w:r>
        <w:rPr>
          <w:rFonts w:hint="eastAsia"/>
          <w:sz w:val="24"/>
        </w:rPr>
        <w:t>常财购</w:t>
      </w:r>
      <w:r>
        <w:rPr>
          <w:sz w:val="24"/>
        </w:rPr>
        <w:t>〔20</w:t>
      </w:r>
      <w:r>
        <w:rPr>
          <w:rFonts w:hint="eastAsia"/>
          <w:sz w:val="24"/>
        </w:rPr>
        <w:t>23</w:t>
      </w:r>
      <w:r>
        <w:rPr>
          <w:sz w:val="24"/>
        </w:rPr>
        <w:t>〕</w:t>
      </w:r>
      <w:r>
        <w:rPr>
          <w:rFonts w:hint="eastAsia"/>
          <w:sz w:val="24"/>
        </w:rPr>
        <w:t>18</w:t>
      </w:r>
      <w:r>
        <w:rPr>
          <w:sz w:val="24"/>
        </w:rPr>
        <w:t xml:space="preserve"> 号</w:t>
      </w:r>
      <w:r>
        <w:rPr>
          <w:rFonts w:hint="eastAsia" w:ascii="宋体" w:hAnsi="宋体"/>
          <w:sz w:val="24"/>
        </w:rPr>
        <w:t>）总体要求，落实《绿色建筑和绿色建材政府采购需求标准》（</w:t>
      </w:r>
      <w:r>
        <w:rPr>
          <w:sz w:val="24"/>
        </w:rPr>
        <w:t>财库〔20</w:t>
      </w:r>
      <w:r>
        <w:rPr>
          <w:rFonts w:hint="eastAsia"/>
          <w:sz w:val="24"/>
        </w:rPr>
        <w:t>22</w:t>
      </w:r>
      <w:r>
        <w:rPr>
          <w:sz w:val="24"/>
        </w:rPr>
        <w:t>〕</w:t>
      </w:r>
      <w:r>
        <w:rPr>
          <w:rFonts w:hint="eastAsia"/>
          <w:sz w:val="24"/>
        </w:rPr>
        <w:t>35</w:t>
      </w:r>
      <w:r>
        <w:rPr>
          <w:sz w:val="24"/>
        </w:rPr>
        <w:t xml:space="preserve"> 号</w:t>
      </w:r>
      <w:r>
        <w:rPr>
          <w:rFonts w:hint="eastAsia" w:ascii="宋体" w:hAnsi="宋体"/>
          <w:sz w:val="24"/>
        </w:rPr>
        <w:t>）和《政府采购支持绿色建材促进建筑品质提升政策项目实施指南》（财办库</w:t>
      </w:r>
      <w:r>
        <w:rPr>
          <w:sz w:val="24"/>
        </w:rPr>
        <w:t>〔20</w:t>
      </w:r>
      <w:r>
        <w:rPr>
          <w:rFonts w:hint="eastAsia"/>
          <w:sz w:val="24"/>
        </w:rPr>
        <w:t>23</w:t>
      </w:r>
      <w:r>
        <w:rPr>
          <w:sz w:val="24"/>
        </w:rPr>
        <w:t>〕</w:t>
      </w:r>
      <w:r>
        <w:rPr>
          <w:rFonts w:hint="eastAsia"/>
          <w:sz w:val="24"/>
        </w:rPr>
        <w:t>52</w:t>
      </w:r>
      <w:r>
        <w:rPr>
          <w:sz w:val="24"/>
        </w:rPr>
        <w:t xml:space="preserve"> 号</w:t>
      </w:r>
      <w:r>
        <w:rPr>
          <w:rFonts w:hint="eastAsia" w:ascii="宋体" w:hAnsi="宋体"/>
          <w:sz w:val="24"/>
        </w:rPr>
        <w:t>）,依据相关需求标准确定采购需求，在采购文件和采购合同中载明具体需求、履约验收条款和违约责任。</w:t>
      </w:r>
    </w:p>
    <w:p w14:paraId="1801D50E">
      <w:pPr>
        <w:spacing w:line="480" w:lineRule="exact"/>
        <w:ind w:left="900"/>
        <w:rPr>
          <w:rFonts w:ascii="宋体" w:hAnsi="宋体"/>
          <w:sz w:val="24"/>
        </w:rPr>
      </w:pPr>
      <w:r>
        <w:rPr>
          <w:rFonts w:hint="eastAsia" w:ascii="宋体" w:hAnsi="宋体"/>
          <w:sz w:val="24"/>
        </w:rPr>
        <w:t xml:space="preserve"> 3.7.3 优先使用低挥发性有机化合物产品</w:t>
      </w:r>
    </w:p>
    <w:p w14:paraId="75E0C62C">
      <w:pPr>
        <w:spacing w:line="480" w:lineRule="exact"/>
        <w:ind w:left="838"/>
        <w:rPr>
          <w:rFonts w:ascii="宋体" w:hAnsi="宋体"/>
          <w:sz w:val="24"/>
        </w:rPr>
      </w:pPr>
      <w:r>
        <w:rPr>
          <w:rFonts w:hint="eastAsia" w:ascii="宋体" w:hAnsi="宋体"/>
          <w:sz w:val="24"/>
        </w:rPr>
        <w:t>采购人要落实挥发性有机化合物（VOCs）治理要求，若本项目中涉及涂料、胶黏剂、油墨、清洗剂等挥发性有机物产品的，属于强制性标准的，投标人应当提供符合国家和江苏省相关VOCs 含量限制标准的产品；属于推荐性标准的，应当在采购文件中载明低VOCs的优惠幅度、评审标准等，以体现优先采购。</w:t>
      </w:r>
    </w:p>
    <w:p w14:paraId="71CBC915">
      <w:pPr>
        <w:tabs>
          <w:tab w:val="left" w:pos="2014"/>
        </w:tabs>
        <w:spacing w:line="360" w:lineRule="auto"/>
        <w:rPr>
          <w:sz w:val="24"/>
          <w:highlight w:val="yellow"/>
        </w:rPr>
      </w:pPr>
    </w:p>
    <w:p w14:paraId="0D6AAECA">
      <w:pPr>
        <w:numPr>
          <w:ilvl w:val="0"/>
          <w:numId w:val="8"/>
        </w:numPr>
        <w:tabs>
          <w:tab w:val="left" w:pos="360"/>
        </w:tabs>
        <w:spacing w:line="360" w:lineRule="auto"/>
        <w:ind w:left="357" w:hanging="357"/>
        <w:outlineLvl w:val="1"/>
        <w:rPr>
          <w:sz w:val="24"/>
        </w:rPr>
      </w:pPr>
      <w:r>
        <w:rPr>
          <w:sz w:val="24"/>
        </w:rPr>
        <w:t>参与协商的费用</w:t>
      </w:r>
    </w:p>
    <w:p w14:paraId="40833C36">
      <w:pPr>
        <w:numPr>
          <w:ilvl w:val="1"/>
          <w:numId w:val="8"/>
        </w:numPr>
        <w:tabs>
          <w:tab w:val="left" w:pos="1080"/>
          <w:tab w:val="left" w:pos="2014"/>
        </w:tabs>
        <w:spacing w:line="360" w:lineRule="auto"/>
        <w:ind w:left="1080" w:hanging="720"/>
        <w:rPr>
          <w:sz w:val="24"/>
        </w:rPr>
      </w:pPr>
      <w:r>
        <w:rPr>
          <w:sz w:val="24"/>
        </w:rPr>
        <w:t>供应商应自行承担所有与准备和参加单一来源采购协商有关的费用，无论协商的结果如何，采购人或采购代理机构在任何情况下均无承担这些费用的义务和责任。</w:t>
      </w:r>
    </w:p>
    <w:p w14:paraId="1DFD39D9">
      <w:pPr>
        <w:tabs>
          <w:tab w:val="left" w:pos="1080"/>
        </w:tabs>
        <w:spacing w:line="360" w:lineRule="auto"/>
        <w:ind w:left="1080"/>
        <w:rPr>
          <w:sz w:val="28"/>
        </w:rPr>
      </w:pPr>
      <w:bookmarkStart w:id="159" w:name="_1.8_计量单位"/>
      <w:bookmarkEnd w:id="159"/>
    </w:p>
    <w:p w14:paraId="3BD001E0">
      <w:pPr>
        <w:pStyle w:val="185"/>
        <w:spacing w:before="0" w:line="360" w:lineRule="auto"/>
        <w:rPr>
          <w:rFonts w:ascii="Times New Roman" w:hAnsi="Times New Roman" w:eastAsia="宋体"/>
          <w:sz w:val="28"/>
        </w:rPr>
      </w:pPr>
      <w:r>
        <w:rPr>
          <w:rFonts w:ascii="Times New Roman" w:hAnsi="Times New Roman" w:eastAsia="宋体"/>
          <w:sz w:val="28"/>
        </w:rPr>
        <w:t xml:space="preserve">二   </w:t>
      </w:r>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r>
        <w:rPr>
          <w:rFonts w:ascii="Times New Roman" w:hAnsi="Times New Roman" w:eastAsia="宋体"/>
          <w:sz w:val="28"/>
        </w:rPr>
        <w:t>单一来源采购文件</w:t>
      </w:r>
    </w:p>
    <w:p w14:paraId="4F52A99C">
      <w:pPr>
        <w:numPr>
          <w:ilvl w:val="0"/>
          <w:numId w:val="8"/>
        </w:numPr>
        <w:tabs>
          <w:tab w:val="left" w:pos="360"/>
        </w:tabs>
        <w:spacing w:line="360" w:lineRule="auto"/>
        <w:ind w:left="357" w:hanging="357"/>
        <w:outlineLvl w:val="1"/>
        <w:rPr>
          <w:sz w:val="24"/>
        </w:rPr>
      </w:pPr>
      <w:bookmarkStart w:id="160" w:name="_Toc151193621"/>
      <w:bookmarkStart w:id="161" w:name="_Toc226965713"/>
      <w:bookmarkStart w:id="162" w:name="_Toc150480761"/>
      <w:bookmarkStart w:id="163" w:name="_Toc265228361"/>
      <w:bookmarkStart w:id="164" w:name="_Toc226965796"/>
      <w:bookmarkStart w:id="165" w:name="_Toc150774623"/>
      <w:bookmarkStart w:id="166" w:name="_Toc127151724"/>
      <w:bookmarkStart w:id="167" w:name="_Toc151190150"/>
      <w:bookmarkStart w:id="168" w:name="_Toc151193911"/>
      <w:bookmarkStart w:id="169" w:name="_Toc264969213"/>
      <w:bookmarkStart w:id="170" w:name="_Toc149720816"/>
      <w:bookmarkStart w:id="171" w:name="_Toc127161437"/>
      <w:bookmarkStart w:id="172" w:name="_Toc151193837"/>
      <w:bookmarkStart w:id="173" w:name="_Toc164608792"/>
      <w:bookmarkStart w:id="174" w:name="_Toc164229218"/>
      <w:bookmarkStart w:id="175" w:name="_Toc305158791"/>
      <w:bookmarkStart w:id="176" w:name="_Toc305158865"/>
      <w:bookmarkStart w:id="177" w:name="_Toc164608637"/>
      <w:bookmarkStart w:id="178" w:name="_Toc226337219"/>
      <w:bookmarkStart w:id="179" w:name="_Toc226309767"/>
      <w:bookmarkStart w:id="180" w:name="_Toc150774728"/>
      <w:bookmarkStart w:id="181" w:name="_Toc150509274"/>
      <w:bookmarkStart w:id="182" w:name="_Toc164351617"/>
      <w:bookmarkStart w:id="183" w:name="_Toc151193693"/>
      <w:bookmarkStart w:id="184" w:name="_Toc142311025"/>
      <w:bookmarkStart w:id="185" w:name="_Toc195842888"/>
      <w:bookmarkStart w:id="186" w:name="_Toc151193765"/>
      <w:bookmarkStart w:id="187" w:name="_Toc164229364"/>
      <w:bookmarkStart w:id="188" w:name="_Toc127151523"/>
      <w:bookmarkStart w:id="189" w:name="_Toc520356147"/>
      <w:r>
        <w:rPr>
          <w:sz w:val="24"/>
        </w:rPr>
        <w:t>单一来源采购文件构</w:t>
      </w:r>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r>
        <w:rPr>
          <w:sz w:val="24"/>
        </w:rPr>
        <w:t>成</w:t>
      </w:r>
    </w:p>
    <w:p w14:paraId="6F12AE88">
      <w:pPr>
        <w:numPr>
          <w:ilvl w:val="1"/>
          <w:numId w:val="8"/>
        </w:numPr>
        <w:tabs>
          <w:tab w:val="left" w:pos="1080"/>
          <w:tab w:val="left" w:pos="2014"/>
        </w:tabs>
        <w:spacing w:line="360" w:lineRule="auto"/>
        <w:ind w:left="1080" w:hanging="720"/>
        <w:rPr>
          <w:sz w:val="24"/>
        </w:rPr>
      </w:pPr>
      <w:r>
        <w:rPr>
          <w:sz w:val="24"/>
        </w:rPr>
        <w:t>单一来源采购文件包括以下部分：</w:t>
      </w:r>
    </w:p>
    <w:p w14:paraId="5D808792">
      <w:pPr>
        <w:numPr>
          <w:ilvl w:val="0"/>
          <w:numId w:val="11"/>
        </w:numPr>
        <w:tabs>
          <w:tab w:val="left" w:pos="1980"/>
          <w:tab w:val="left" w:pos="2520"/>
        </w:tabs>
        <w:spacing w:line="360" w:lineRule="auto"/>
        <w:ind w:left="1440" w:firstLine="5"/>
        <w:rPr>
          <w:sz w:val="24"/>
        </w:rPr>
      </w:pPr>
      <w:r>
        <w:rPr>
          <w:sz w:val="24"/>
        </w:rPr>
        <w:t>采购邀请</w:t>
      </w:r>
    </w:p>
    <w:p w14:paraId="76312F80">
      <w:pPr>
        <w:numPr>
          <w:ilvl w:val="0"/>
          <w:numId w:val="11"/>
        </w:numPr>
        <w:tabs>
          <w:tab w:val="left" w:pos="1980"/>
          <w:tab w:val="left" w:pos="2520"/>
        </w:tabs>
        <w:spacing w:line="360" w:lineRule="auto"/>
        <w:ind w:left="1440" w:firstLine="5"/>
        <w:rPr>
          <w:sz w:val="24"/>
        </w:rPr>
      </w:pPr>
      <w:r>
        <w:rPr>
          <w:sz w:val="24"/>
        </w:rPr>
        <w:t>供应商须知</w:t>
      </w:r>
    </w:p>
    <w:p w14:paraId="4DC13812">
      <w:pPr>
        <w:numPr>
          <w:ilvl w:val="0"/>
          <w:numId w:val="11"/>
        </w:numPr>
        <w:tabs>
          <w:tab w:val="left" w:pos="1980"/>
          <w:tab w:val="left" w:pos="2520"/>
        </w:tabs>
        <w:spacing w:line="360" w:lineRule="auto"/>
        <w:ind w:left="1440" w:firstLine="5"/>
        <w:rPr>
          <w:sz w:val="24"/>
        </w:rPr>
      </w:pPr>
      <w:r>
        <w:rPr>
          <w:sz w:val="24"/>
        </w:rPr>
        <w:t xml:space="preserve">协商程序 </w:t>
      </w:r>
    </w:p>
    <w:p w14:paraId="5669296B">
      <w:pPr>
        <w:numPr>
          <w:ilvl w:val="0"/>
          <w:numId w:val="11"/>
        </w:numPr>
        <w:tabs>
          <w:tab w:val="left" w:pos="1980"/>
          <w:tab w:val="left" w:pos="2520"/>
        </w:tabs>
        <w:spacing w:line="360" w:lineRule="auto"/>
        <w:ind w:left="1440" w:firstLine="5"/>
        <w:rPr>
          <w:sz w:val="24"/>
        </w:rPr>
      </w:pPr>
      <w:r>
        <w:rPr>
          <w:sz w:val="24"/>
        </w:rPr>
        <w:t>采购需求</w:t>
      </w:r>
    </w:p>
    <w:p w14:paraId="51B658C2">
      <w:pPr>
        <w:numPr>
          <w:ilvl w:val="0"/>
          <w:numId w:val="11"/>
        </w:numPr>
        <w:tabs>
          <w:tab w:val="left" w:pos="1980"/>
          <w:tab w:val="left" w:pos="2520"/>
        </w:tabs>
        <w:spacing w:line="360" w:lineRule="auto"/>
        <w:ind w:left="1440" w:firstLine="5"/>
        <w:rPr>
          <w:sz w:val="24"/>
        </w:rPr>
      </w:pPr>
      <w:r>
        <w:rPr>
          <w:sz w:val="24"/>
        </w:rPr>
        <w:t>合同草案条款</w:t>
      </w:r>
    </w:p>
    <w:p w14:paraId="154970B4">
      <w:pPr>
        <w:numPr>
          <w:ilvl w:val="0"/>
          <w:numId w:val="11"/>
        </w:numPr>
        <w:tabs>
          <w:tab w:val="left" w:pos="1980"/>
          <w:tab w:val="left" w:pos="2520"/>
        </w:tabs>
        <w:spacing w:line="360" w:lineRule="auto"/>
        <w:ind w:left="1440" w:firstLine="5"/>
        <w:rPr>
          <w:sz w:val="24"/>
        </w:rPr>
      </w:pPr>
      <w:r>
        <w:rPr>
          <w:sz w:val="24"/>
        </w:rPr>
        <w:t>响应文件格式</w:t>
      </w:r>
    </w:p>
    <w:p w14:paraId="550A519A">
      <w:pPr>
        <w:numPr>
          <w:ilvl w:val="1"/>
          <w:numId w:val="8"/>
        </w:numPr>
        <w:tabs>
          <w:tab w:val="left" w:pos="1080"/>
          <w:tab w:val="left" w:pos="2014"/>
        </w:tabs>
        <w:spacing w:line="360" w:lineRule="auto"/>
        <w:ind w:left="1080" w:hanging="720"/>
        <w:rPr>
          <w:sz w:val="24"/>
        </w:rPr>
      </w:pPr>
      <w:r>
        <w:rPr>
          <w:sz w:val="24"/>
        </w:rPr>
        <w:t>供应商应认真阅读单一来源采购文件的全部内容。供应商应按照单一来源采购文件要求提交响应文件并保证所提供的全部资料的真实性，并对单一来源采购文件做出实质性响应，否则</w:t>
      </w:r>
      <w:r>
        <w:rPr>
          <w:b/>
          <w:sz w:val="24"/>
        </w:rPr>
        <w:t>响应无效</w:t>
      </w:r>
      <w:r>
        <w:rPr>
          <w:sz w:val="24"/>
        </w:rPr>
        <w:t>。</w:t>
      </w:r>
    </w:p>
    <w:p w14:paraId="787E9B00">
      <w:pPr>
        <w:numPr>
          <w:ilvl w:val="0"/>
          <w:numId w:val="8"/>
        </w:numPr>
        <w:tabs>
          <w:tab w:val="left" w:pos="1080"/>
          <w:tab w:val="left" w:pos="2014"/>
        </w:tabs>
        <w:spacing w:line="360" w:lineRule="auto"/>
        <w:ind w:left="357" w:hanging="357"/>
        <w:outlineLvl w:val="1"/>
        <w:rPr>
          <w:sz w:val="24"/>
        </w:rPr>
      </w:pPr>
      <w:r>
        <w:rPr>
          <w:sz w:val="24"/>
        </w:rPr>
        <w:t>对单一来源采购文件的澄清或修改</w:t>
      </w:r>
    </w:p>
    <w:p w14:paraId="73071453">
      <w:pPr>
        <w:numPr>
          <w:ilvl w:val="1"/>
          <w:numId w:val="8"/>
        </w:numPr>
        <w:tabs>
          <w:tab w:val="left" w:pos="1080"/>
          <w:tab w:val="left" w:pos="1561"/>
          <w:tab w:val="left" w:pos="2014"/>
        </w:tabs>
        <w:spacing w:line="360" w:lineRule="auto"/>
        <w:ind w:left="1080" w:hanging="720"/>
        <w:rPr>
          <w:sz w:val="24"/>
        </w:rPr>
      </w:pPr>
      <w:r>
        <w:rPr>
          <w:sz w:val="24"/>
        </w:rPr>
        <w:t>采购人或采购代理机构对已发出的单一来源采购文件进行必要澄清或者修改的，将以书面形式通知获取单一来源采购文件的潜在供应商。</w:t>
      </w:r>
    </w:p>
    <w:p w14:paraId="0B26E7CE">
      <w:pPr>
        <w:numPr>
          <w:ilvl w:val="1"/>
          <w:numId w:val="8"/>
        </w:numPr>
        <w:tabs>
          <w:tab w:val="left" w:pos="1080"/>
          <w:tab w:val="left" w:pos="1561"/>
          <w:tab w:val="left" w:pos="2014"/>
        </w:tabs>
        <w:spacing w:line="360" w:lineRule="auto"/>
        <w:ind w:left="1080" w:hanging="720"/>
        <w:rPr>
          <w:sz w:val="24"/>
        </w:rPr>
      </w:pPr>
      <w:r>
        <w:rPr>
          <w:sz w:val="24"/>
        </w:rPr>
        <w:t>上述书面通知，按照获取单一来源采购文件的潜在供应商提供的联系方式发出，因提供的信息有误导致通知延迟或无法通知的，采购人或采购代理机构不承担责任。</w:t>
      </w:r>
    </w:p>
    <w:p w14:paraId="145B3C08">
      <w:pPr>
        <w:numPr>
          <w:ilvl w:val="1"/>
          <w:numId w:val="8"/>
        </w:numPr>
        <w:tabs>
          <w:tab w:val="left" w:pos="1080"/>
          <w:tab w:val="left" w:pos="1561"/>
          <w:tab w:val="left" w:pos="2014"/>
        </w:tabs>
        <w:spacing w:line="360" w:lineRule="auto"/>
        <w:ind w:left="1080" w:hanging="720"/>
        <w:rPr>
          <w:sz w:val="24"/>
        </w:rPr>
      </w:pPr>
      <w:r>
        <w:rPr>
          <w:sz w:val="24"/>
        </w:rPr>
        <w:t>澄清或者修改的内容为单一来源采购文件的组成部分，并对获取单一来源采购文件的潜在供应商具有约束力。澄清或者修改的内容可能影响响应文件编制的，将在《供应商须知资料表》规定的时间前，以书面形式通知获取单一来源采购文件的潜在供应商；时间不足的，将顺延提交响应文件截止之日。</w:t>
      </w:r>
    </w:p>
    <w:p w14:paraId="44AF8BE2">
      <w:pPr>
        <w:tabs>
          <w:tab w:val="left" w:pos="1080"/>
          <w:tab w:val="left" w:pos="1561"/>
        </w:tabs>
        <w:spacing w:line="360" w:lineRule="auto"/>
        <w:ind w:left="1080"/>
        <w:rPr>
          <w:sz w:val="28"/>
        </w:rPr>
      </w:pPr>
      <w:bookmarkStart w:id="190" w:name="_Toc516367020"/>
      <w:bookmarkStart w:id="191" w:name="_Toc150774626"/>
      <w:bookmarkStart w:id="192" w:name="_Toc151193624"/>
      <w:bookmarkStart w:id="193" w:name="_Toc305158868"/>
      <w:bookmarkStart w:id="194" w:name="_Toc265228364"/>
      <w:bookmarkStart w:id="195" w:name="_Toc151193914"/>
      <w:bookmarkStart w:id="196" w:name="_Toc151193696"/>
      <w:bookmarkStart w:id="197" w:name="_Toc226337222"/>
      <w:bookmarkStart w:id="198" w:name="_Toc305158794"/>
      <w:bookmarkStart w:id="199" w:name="_Toc264969216"/>
      <w:bookmarkStart w:id="200" w:name="_Toc226965716"/>
      <w:bookmarkStart w:id="201" w:name="_Toc151190153"/>
      <w:bookmarkStart w:id="202" w:name="_Toc142311028"/>
      <w:bookmarkStart w:id="203" w:name="_Toc127151526"/>
      <w:bookmarkStart w:id="204" w:name="_Toc150480764"/>
      <w:bookmarkStart w:id="205" w:name="_Toc151193768"/>
      <w:bookmarkStart w:id="206" w:name="_Toc226309770"/>
      <w:bookmarkStart w:id="207" w:name="_Toc150774731"/>
      <w:bookmarkStart w:id="208" w:name="_Toc150509277"/>
      <w:bookmarkStart w:id="209" w:name="_Toc226965799"/>
      <w:bookmarkStart w:id="210" w:name="_Toc520356150"/>
      <w:bookmarkStart w:id="211" w:name="_Toc195842891"/>
      <w:bookmarkStart w:id="212" w:name="_Toc151193840"/>
    </w:p>
    <w:p w14:paraId="3478BB5A">
      <w:pPr>
        <w:pStyle w:val="185"/>
        <w:spacing w:before="0" w:line="360" w:lineRule="auto"/>
        <w:rPr>
          <w:rFonts w:ascii="Times New Roman" w:hAnsi="Times New Roman" w:eastAsia="宋体"/>
          <w:sz w:val="28"/>
        </w:rPr>
      </w:pPr>
      <w:r>
        <w:rPr>
          <w:rFonts w:ascii="Times New Roman" w:hAnsi="Times New Roman" w:eastAsia="宋体"/>
          <w:sz w:val="28"/>
        </w:rPr>
        <w:t>三   响应文件</w:t>
      </w:r>
      <w:bookmarkEnd w:id="190"/>
      <w:r>
        <w:rPr>
          <w:rFonts w:ascii="Times New Roman" w:hAnsi="Times New Roman" w:eastAsia="宋体"/>
          <w:sz w:val="28"/>
        </w:rPr>
        <w:t>的编制</w:t>
      </w:r>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p>
    <w:p w14:paraId="079C33B6">
      <w:pPr>
        <w:numPr>
          <w:ilvl w:val="0"/>
          <w:numId w:val="8"/>
        </w:numPr>
        <w:tabs>
          <w:tab w:val="left" w:pos="360"/>
        </w:tabs>
        <w:spacing w:line="360" w:lineRule="auto"/>
        <w:ind w:left="357" w:hanging="357"/>
        <w:outlineLvl w:val="1"/>
        <w:rPr>
          <w:sz w:val="24"/>
        </w:rPr>
      </w:pPr>
      <w:bookmarkStart w:id="213" w:name="_Toc164608796"/>
      <w:bookmarkStart w:id="214" w:name="_Toc195842892"/>
      <w:bookmarkStart w:id="215" w:name="_Toc226337223"/>
      <w:bookmarkStart w:id="216" w:name="_Toc127161441"/>
      <w:bookmarkStart w:id="217" w:name="_Toc520356151"/>
      <w:bookmarkStart w:id="218" w:name="_Toc226309771"/>
      <w:bookmarkStart w:id="219" w:name="_Toc151193697"/>
      <w:bookmarkStart w:id="220" w:name="_Toc142311029"/>
      <w:bookmarkStart w:id="221" w:name="_Toc164351621"/>
      <w:bookmarkStart w:id="222" w:name="_Toc164608641"/>
      <w:bookmarkStart w:id="223" w:name="_Toc150774627"/>
      <w:bookmarkStart w:id="224" w:name="_Toc164229368"/>
      <w:bookmarkStart w:id="225" w:name="_Toc305158869"/>
      <w:bookmarkStart w:id="226" w:name="_Toc149720820"/>
      <w:bookmarkStart w:id="227" w:name="_Toc151193841"/>
      <w:bookmarkStart w:id="228" w:name="_Toc151193915"/>
      <w:bookmarkStart w:id="229" w:name="_Toc150509278"/>
      <w:bookmarkStart w:id="230" w:name="_Toc305158795"/>
      <w:bookmarkStart w:id="231" w:name="_Toc226965717"/>
      <w:bookmarkStart w:id="232" w:name="_Toc127151527"/>
      <w:bookmarkStart w:id="233" w:name="_Toc265228365"/>
      <w:bookmarkStart w:id="234" w:name="_Toc226965800"/>
      <w:bookmarkStart w:id="235" w:name="_Toc151190154"/>
      <w:bookmarkStart w:id="236" w:name="_Toc151193769"/>
      <w:bookmarkStart w:id="237" w:name="_Toc150480765"/>
      <w:bookmarkStart w:id="238" w:name="_Toc164229222"/>
      <w:bookmarkStart w:id="239" w:name="_Toc127151728"/>
      <w:bookmarkStart w:id="240" w:name="_Toc150774732"/>
      <w:bookmarkStart w:id="241" w:name="_Toc151193625"/>
      <w:bookmarkStart w:id="242" w:name="_Toc516367021"/>
      <w:bookmarkStart w:id="243" w:name="_Toc264969217"/>
      <w:r>
        <w:rPr>
          <w:sz w:val="24"/>
        </w:rPr>
        <w:t>响应范围、响应文件中计量单位的使用</w:t>
      </w:r>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r>
        <w:rPr>
          <w:sz w:val="24"/>
        </w:rPr>
        <w:t>及响应语言</w:t>
      </w:r>
    </w:p>
    <w:p w14:paraId="3B6ACB57">
      <w:pPr>
        <w:numPr>
          <w:ilvl w:val="1"/>
          <w:numId w:val="8"/>
        </w:numPr>
        <w:tabs>
          <w:tab w:val="left" w:pos="1080"/>
          <w:tab w:val="left" w:pos="2014"/>
        </w:tabs>
        <w:spacing w:line="360" w:lineRule="auto"/>
        <w:ind w:left="1080" w:hanging="720"/>
        <w:rPr>
          <w:sz w:val="24"/>
        </w:rPr>
      </w:pPr>
      <w:r>
        <w:rPr>
          <w:sz w:val="24"/>
        </w:rPr>
        <w:t>本项目如划分采购包，供应商应当对采购人所邀请的采购包对应第四章《采购需求》所列的全部内容进行响应，不得将一个采购包中的内容拆开响应。</w:t>
      </w:r>
    </w:p>
    <w:p w14:paraId="39359C9E">
      <w:pPr>
        <w:numPr>
          <w:ilvl w:val="1"/>
          <w:numId w:val="8"/>
        </w:numPr>
        <w:tabs>
          <w:tab w:val="left" w:pos="1080"/>
          <w:tab w:val="left" w:pos="2014"/>
        </w:tabs>
        <w:spacing w:line="360" w:lineRule="auto"/>
        <w:ind w:left="1080" w:hanging="720"/>
        <w:rPr>
          <w:sz w:val="24"/>
        </w:rPr>
      </w:pPr>
      <w:r>
        <w:rPr>
          <w:sz w:val="24"/>
        </w:rPr>
        <w:t>除单一来源采购文件有特殊要求外，本项目所使用的计量单位，应采用中华人民共和国法定计量单位。</w:t>
      </w:r>
    </w:p>
    <w:p w14:paraId="4A01D57B">
      <w:pPr>
        <w:numPr>
          <w:ilvl w:val="1"/>
          <w:numId w:val="8"/>
        </w:numPr>
        <w:tabs>
          <w:tab w:val="left" w:pos="1080"/>
          <w:tab w:val="left" w:pos="2014"/>
        </w:tabs>
        <w:spacing w:line="360" w:lineRule="auto"/>
        <w:ind w:left="1080" w:hanging="720"/>
        <w:rPr>
          <w:sz w:val="24"/>
        </w:rPr>
      </w:pPr>
      <w:r>
        <w:rPr>
          <w:sz w:val="24"/>
        </w:rPr>
        <w:t>除专用术语外，响应文件及来往函电均应使用中文书写。必要时专用术语应附有中文解释。供应商提交的支持资料和已印制的文献可以用外文，但相应内容应附有中文翻译本，在解释响应文件时以中文翻译本为准。未附中文翻译本或翻译本中文内容明显与外文内容不一致的，其不利后果由供应商自行承担。</w:t>
      </w:r>
    </w:p>
    <w:p w14:paraId="029B390C">
      <w:pPr>
        <w:numPr>
          <w:ilvl w:val="0"/>
          <w:numId w:val="8"/>
        </w:numPr>
        <w:tabs>
          <w:tab w:val="left" w:pos="360"/>
        </w:tabs>
        <w:spacing w:line="360" w:lineRule="auto"/>
        <w:ind w:left="357" w:hanging="357"/>
        <w:outlineLvl w:val="1"/>
        <w:rPr>
          <w:sz w:val="24"/>
        </w:rPr>
      </w:pPr>
      <w:bookmarkStart w:id="244" w:name="_Ref467306676"/>
      <w:bookmarkStart w:id="245" w:name="_Toc516367022"/>
      <w:bookmarkStart w:id="246" w:name="_Ref467306195"/>
      <w:bookmarkStart w:id="247" w:name="_Toc151190155"/>
      <w:bookmarkStart w:id="248" w:name="_Toc150774733"/>
      <w:bookmarkStart w:id="249" w:name="_Toc226965801"/>
      <w:bookmarkStart w:id="250" w:name="_Toc151193916"/>
      <w:bookmarkStart w:id="251" w:name="_Toc226337224"/>
      <w:bookmarkStart w:id="252" w:name="_Toc151193770"/>
      <w:bookmarkStart w:id="253" w:name="_Toc520356152"/>
      <w:bookmarkStart w:id="254" w:name="_Toc164608797"/>
      <w:bookmarkStart w:id="255" w:name="_Toc142311030"/>
      <w:bookmarkStart w:id="256" w:name="_Toc164229223"/>
      <w:bookmarkStart w:id="257" w:name="_Toc305158796"/>
      <w:bookmarkStart w:id="258" w:name="_Toc151193626"/>
      <w:bookmarkStart w:id="259" w:name="_Toc265228366"/>
      <w:bookmarkStart w:id="260" w:name="_Toc164351622"/>
      <w:bookmarkStart w:id="261" w:name="_Toc149720821"/>
      <w:bookmarkStart w:id="262" w:name="_Toc127161442"/>
      <w:bookmarkStart w:id="263" w:name="_Toc195842893"/>
      <w:bookmarkStart w:id="264" w:name="_Toc150480766"/>
      <w:bookmarkStart w:id="265" w:name="_Toc305158870"/>
      <w:bookmarkStart w:id="266" w:name="_Toc150774628"/>
      <w:bookmarkStart w:id="267" w:name="_Toc164608642"/>
      <w:bookmarkStart w:id="268" w:name="_Toc151193698"/>
      <w:bookmarkStart w:id="269" w:name="_Toc127151729"/>
      <w:bookmarkStart w:id="270" w:name="_Toc226309772"/>
      <w:bookmarkStart w:id="271" w:name="_Toc151193842"/>
      <w:bookmarkStart w:id="272" w:name="_Toc127151528"/>
      <w:bookmarkStart w:id="273" w:name="_Toc264969218"/>
      <w:bookmarkStart w:id="274" w:name="_Toc164229369"/>
      <w:bookmarkStart w:id="275" w:name="_Toc226965718"/>
      <w:bookmarkStart w:id="276" w:name="_Toc150509279"/>
      <w:r>
        <w:rPr>
          <w:sz w:val="24"/>
        </w:rPr>
        <w:t>响应文件</w:t>
      </w:r>
      <w:bookmarkEnd w:id="244"/>
      <w:bookmarkEnd w:id="245"/>
      <w:bookmarkEnd w:id="246"/>
      <w:r>
        <w:rPr>
          <w:sz w:val="24"/>
        </w:rPr>
        <w:t>构成</w:t>
      </w:r>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p>
    <w:p w14:paraId="5B945B9C">
      <w:pPr>
        <w:numPr>
          <w:ilvl w:val="1"/>
          <w:numId w:val="8"/>
        </w:numPr>
        <w:tabs>
          <w:tab w:val="left" w:pos="1080"/>
          <w:tab w:val="left" w:pos="2014"/>
        </w:tabs>
        <w:spacing w:line="360" w:lineRule="auto"/>
        <w:ind w:left="1077" w:hanging="720"/>
        <w:rPr>
          <w:sz w:val="24"/>
        </w:rPr>
      </w:pPr>
      <w:bookmarkStart w:id="277" w:name="_Ref467052588"/>
      <w:r>
        <w:rPr>
          <w:sz w:val="24"/>
        </w:rPr>
        <w:t>供应商应当按照单一来源采购文件的要求编制响应文件。响应文件的部分格式要求，见第六章《响应文件格式》。</w:t>
      </w:r>
    </w:p>
    <w:p w14:paraId="1390A846">
      <w:pPr>
        <w:numPr>
          <w:ilvl w:val="1"/>
          <w:numId w:val="8"/>
        </w:numPr>
        <w:tabs>
          <w:tab w:val="left" w:pos="1080"/>
          <w:tab w:val="left" w:pos="2014"/>
        </w:tabs>
        <w:spacing w:line="360" w:lineRule="auto"/>
        <w:ind w:left="1077" w:hanging="720"/>
        <w:rPr>
          <w:sz w:val="24"/>
        </w:rPr>
      </w:pPr>
      <w:r>
        <w:rPr>
          <w:sz w:val="24"/>
        </w:rPr>
        <w:t>对于单一来源采购文件中标记了“实质性格式”文件的，供应商不得改变格式中给定的文字所表达的含义，不得删减格式中的实质性内容，不得自行添加与格式中给定的文字内容相矛盾的内容，不得对应当填写的空格不填写或不实质性响应，否则</w:t>
      </w:r>
      <w:r>
        <w:rPr>
          <w:b/>
          <w:sz w:val="24"/>
        </w:rPr>
        <w:t>响应无效</w:t>
      </w:r>
      <w:r>
        <w:rPr>
          <w:sz w:val="24"/>
        </w:rPr>
        <w:t>。未标记“实质性格式”的文件和单一来源采购文件未提供格式的内容，可由供应商自行编写。</w:t>
      </w:r>
    </w:p>
    <w:p w14:paraId="08BB9D2C">
      <w:pPr>
        <w:numPr>
          <w:ilvl w:val="1"/>
          <w:numId w:val="8"/>
        </w:numPr>
        <w:tabs>
          <w:tab w:val="left" w:pos="1080"/>
          <w:tab w:val="left" w:pos="2014"/>
        </w:tabs>
        <w:spacing w:line="360" w:lineRule="auto"/>
        <w:ind w:left="1077" w:hanging="720"/>
        <w:rPr>
          <w:sz w:val="24"/>
        </w:rPr>
      </w:pPr>
      <w:r>
        <w:rPr>
          <w:sz w:val="24"/>
        </w:rPr>
        <w:t>第三章《协商程序》中涉及的证明文件。对照第四章《采购需求》，说明所提供货物和服务已对第四章《采购需求》做出了响应，或申明与第四章《采购需求》的偏差和例外。如第四章《采购需求》中要求提供证明文件的，供应商应当按具体要求提供证明文件。</w:t>
      </w:r>
    </w:p>
    <w:p w14:paraId="3FB7B8AC">
      <w:pPr>
        <w:numPr>
          <w:ilvl w:val="1"/>
          <w:numId w:val="8"/>
        </w:numPr>
        <w:tabs>
          <w:tab w:val="left" w:pos="1080"/>
          <w:tab w:val="left" w:pos="2014"/>
        </w:tabs>
        <w:spacing w:line="360" w:lineRule="auto"/>
        <w:ind w:left="1077" w:hanging="720"/>
        <w:rPr>
          <w:sz w:val="24"/>
        </w:rPr>
      </w:pPr>
      <w:r>
        <w:rPr>
          <w:sz w:val="24"/>
        </w:rPr>
        <w:t>供应商根据采购项目的特点及要求，提供采购标的成本、同类项目合同价格以及相关专利、专有技术等情况说明，以及单一来源采购文件中要求供应商响应的其他技术文件等。</w:t>
      </w:r>
    </w:p>
    <w:p w14:paraId="4E7E870C">
      <w:pPr>
        <w:numPr>
          <w:ilvl w:val="1"/>
          <w:numId w:val="8"/>
        </w:numPr>
        <w:tabs>
          <w:tab w:val="left" w:pos="1080"/>
          <w:tab w:val="left" w:pos="2014"/>
        </w:tabs>
        <w:spacing w:line="360" w:lineRule="auto"/>
        <w:ind w:left="1077" w:hanging="720"/>
        <w:rPr>
          <w:sz w:val="24"/>
        </w:rPr>
      </w:pPr>
      <w:r>
        <w:rPr>
          <w:sz w:val="24"/>
        </w:rPr>
        <w:t>供应商认为应附的其他材料。</w:t>
      </w:r>
      <w:bookmarkEnd w:id="277"/>
    </w:p>
    <w:p w14:paraId="68A9055F">
      <w:pPr>
        <w:numPr>
          <w:ilvl w:val="0"/>
          <w:numId w:val="8"/>
        </w:numPr>
        <w:tabs>
          <w:tab w:val="left" w:pos="360"/>
        </w:tabs>
        <w:spacing w:line="360" w:lineRule="auto"/>
        <w:ind w:left="357" w:hanging="357"/>
        <w:outlineLvl w:val="1"/>
        <w:rPr>
          <w:sz w:val="24"/>
        </w:rPr>
      </w:pPr>
      <w:bookmarkStart w:id="278" w:name="_Toc195842895"/>
      <w:bookmarkStart w:id="279" w:name="_Toc151193844"/>
      <w:bookmarkStart w:id="280" w:name="_Toc151193628"/>
      <w:bookmarkStart w:id="281" w:name="_Toc164229225"/>
      <w:bookmarkStart w:id="282" w:name="_Toc164351624"/>
      <w:bookmarkStart w:id="283" w:name="_Toc520356155"/>
      <w:bookmarkStart w:id="284" w:name="_Toc127151530"/>
      <w:bookmarkStart w:id="285" w:name="_Toc149720823"/>
      <w:bookmarkStart w:id="286" w:name="_Toc127161444"/>
      <w:bookmarkStart w:id="287" w:name="_Toc164229371"/>
      <w:bookmarkStart w:id="288" w:name="_Toc151193700"/>
      <w:bookmarkStart w:id="289" w:name="_Toc142311032"/>
      <w:bookmarkStart w:id="290" w:name="_Toc151193772"/>
      <w:bookmarkStart w:id="291" w:name="_Toc164608644"/>
      <w:bookmarkStart w:id="292" w:name="_Toc164608799"/>
      <w:bookmarkStart w:id="293" w:name="_Toc127151731"/>
      <w:bookmarkStart w:id="294" w:name="_Toc151190157"/>
      <w:bookmarkStart w:id="295" w:name="_Toc150509281"/>
      <w:bookmarkStart w:id="296" w:name="_Toc151193918"/>
      <w:bookmarkStart w:id="297" w:name="_Toc150480768"/>
      <w:bookmarkStart w:id="298" w:name="_Toc150774630"/>
      <w:bookmarkStart w:id="299" w:name="_Toc150774735"/>
      <w:r>
        <w:rPr>
          <w:sz w:val="24"/>
        </w:rPr>
        <w:t>报价</w:t>
      </w:r>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p>
    <w:p w14:paraId="1177DE5C">
      <w:pPr>
        <w:numPr>
          <w:ilvl w:val="1"/>
          <w:numId w:val="8"/>
        </w:numPr>
        <w:tabs>
          <w:tab w:val="left" w:pos="1080"/>
          <w:tab w:val="left" w:pos="2014"/>
        </w:tabs>
        <w:spacing w:line="360" w:lineRule="auto"/>
        <w:ind w:left="1077" w:hanging="720"/>
        <w:rPr>
          <w:sz w:val="24"/>
        </w:rPr>
      </w:pPr>
      <w:r>
        <w:rPr>
          <w:sz w:val="24"/>
        </w:rPr>
        <w:t>所有响应均以人民币报价。</w:t>
      </w:r>
    </w:p>
    <w:p w14:paraId="40116EA0">
      <w:pPr>
        <w:numPr>
          <w:ilvl w:val="1"/>
          <w:numId w:val="8"/>
        </w:numPr>
        <w:tabs>
          <w:tab w:val="left" w:pos="1080"/>
          <w:tab w:val="left" w:pos="2014"/>
        </w:tabs>
        <w:spacing w:line="360" w:lineRule="auto"/>
        <w:ind w:left="1077" w:hanging="720"/>
        <w:rPr>
          <w:sz w:val="24"/>
        </w:rPr>
      </w:pPr>
      <w:r>
        <w:rPr>
          <w:sz w:val="24"/>
        </w:rPr>
        <w:t>供应商的报价应包括为完成本项目所发生的一切费用和税费，采购人将不再支付报价以外的任何费用。</w:t>
      </w:r>
      <w:r>
        <w:rPr>
          <w:rFonts w:hint="eastAsia"/>
          <w:sz w:val="24"/>
        </w:rPr>
        <w:t>供应商的报价应包括但不限于下列内容，《供应商须知资料表》中有特殊规定的，从其规定。</w:t>
      </w:r>
    </w:p>
    <w:p w14:paraId="75611765">
      <w:pPr>
        <w:numPr>
          <w:ilvl w:val="2"/>
          <w:numId w:val="8"/>
        </w:numPr>
        <w:spacing w:line="360" w:lineRule="auto"/>
        <w:rPr>
          <w:sz w:val="24"/>
        </w:rPr>
      </w:pPr>
      <w:r>
        <w:rPr>
          <w:sz w:val="24"/>
        </w:rPr>
        <w:t>响应货物及标准附件、备品备件、专用工具等的出厂价（包括已在中国国内的进口货物完税后的仓库交货价、展室交货价或货架交货价）和运至最终目的地的运输费和保险费，安装调试、检验、技术服务、培训、质量保证、售后服务、税费等；</w:t>
      </w:r>
    </w:p>
    <w:p w14:paraId="592EF45C">
      <w:pPr>
        <w:numPr>
          <w:ilvl w:val="2"/>
          <w:numId w:val="8"/>
        </w:numPr>
        <w:spacing w:line="360" w:lineRule="auto"/>
        <w:rPr>
          <w:sz w:val="24"/>
        </w:rPr>
      </w:pPr>
      <w:r>
        <w:rPr>
          <w:sz w:val="24"/>
        </w:rPr>
        <w:t xml:space="preserve">按照单一来源采购文件要求完成本项目的全部相关工程或服务费用。 </w:t>
      </w:r>
    </w:p>
    <w:p w14:paraId="188B7560">
      <w:pPr>
        <w:numPr>
          <w:ilvl w:val="1"/>
          <w:numId w:val="8"/>
        </w:numPr>
        <w:tabs>
          <w:tab w:val="left" w:pos="1080"/>
          <w:tab w:val="left" w:pos="2014"/>
        </w:tabs>
        <w:spacing w:line="360" w:lineRule="auto"/>
        <w:ind w:left="1077" w:hanging="720"/>
        <w:rPr>
          <w:sz w:val="24"/>
        </w:rPr>
      </w:pPr>
      <w:r>
        <w:rPr>
          <w:sz w:val="24"/>
        </w:rPr>
        <w:t>采购人不得向供应商索要或者接受其给予的赠品、回扣或者与采购无关的其他商品、服务。</w:t>
      </w:r>
    </w:p>
    <w:p w14:paraId="4FAAACE3">
      <w:pPr>
        <w:numPr>
          <w:ilvl w:val="0"/>
          <w:numId w:val="8"/>
        </w:numPr>
        <w:tabs>
          <w:tab w:val="left" w:pos="360"/>
        </w:tabs>
        <w:spacing w:line="360" w:lineRule="auto"/>
        <w:ind w:left="357" w:hanging="357"/>
        <w:outlineLvl w:val="1"/>
        <w:rPr>
          <w:sz w:val="24"/>
        </w:rPr>
      </w:pPr>
      <w:bookmarkStart w:id="300" w:name="_Toc305158873"/>
      <w:bookmarkStart w:id="301" w:name="_Toc150480769"/>
      <w:bookmarkStart w:id="302" w:name="_Toc265228369"/>
      <w:bookmarkStart w:id="303" w:name="_Toc264969221"/>
      <w:bookmarkStart w:id="304" w:name="_Toc127151531"/>
      <w:bookmarkStart w:id="305" w:name="_Toc151193919"/>
      <w:bookmarkStart w:id="306" w:name="_Toc127161445"/>
      <w:bookmarkStart w:id="307" w:name="_Toc164229372"/>
      <w:bookmarkStart w:id="308" w:name="_Toc150509282"/>
      <w:bookmarkStart w:id="309" w:name="_Toc151193773"/>
      <w:bookmarkStart w:id="310" w:name="_Toc520356156"/>
      <w:bookmarkStart w:id="311" w:name="_Toc164608645"/>
      <w:bookmarkStart w:id="312" w:name="_Toc195842896"/>
      <w:bookmarkStart w:id="313" w:name="_Toc226965804"/>
      <w:bookmarkStart w:id="314" w:name="_Toc164608800"/>
      <w:bookmarkStart w:id="315" w:name="_Toc149720824"/>
      <w:bookmarkStart w:id="316" w:name="_Toc164351625"/>
      <w:bookmarkStart w:id="317" w:name="_Toc151193629"/>
      <w:bookmarkStart w:id="318" w:name="_Toc150774631"/>
      <w:bookmarkStart w:id="319" w:name="_Toc226309775"/>
      <w:bookmarkStart w:id="320" w:name="_Toc226337227"/>
      <w:bookmarkStart w:id="321" w:name="_Toc151193845"/>
      <w:bookmarkStart w:id="322" w:name="_Toc305158799"/>
      <w:bookmarkStart w:id="323" w:name="_Toc127151732"/>
      <w:bookmarkStart w:id="324" w:name="_Toc164229226"/>
      <w:bookmarkStart w:id="325" w:name="_Toc151193701"/>
      <w:bookmarkStart w:id="326" w:name="_Toc226965721"/>
      <w:bookmarkStart w:id="327" w:name="_Toc151190158"/>
      <w:bookmarkStart w:id="328" w:name="_Ref467306513"/>
      <w:bookmarkStart w:id="329" w:name="_Toc150774736"/>
      <w:bookmarkStart w:id="330" w:name="_Toc142311033"/>
      <w:r>
        <w:rPr>
          <w:sz w:val="24"/>
        </w:rPr>
        <w:t>保证金</w:t>
      </w:r>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r>
        <w:rPr>
          <w:rFonts w:hint="eastAsia"/>
          <w:sz w:val="24"/>
        </w:rPr>
        <w:t>免收</w:t>
      </w:r>
    </w:p>
    <w:p w14:paraId="292D0871">
      <w:pPr>
        <w:numPr>
          <w:ilvl w:val="0"/>
          <w:numId w:val="8"/>
        </w:numPr>
        <w:tabs>
          <w:tab w:val="left" w:pos="360"/>
        </w:tabs>
        <w:spacing w:line="360" w:lineRule="auto"/>
        <w:ind w:left="357" w:hanging="357"/>
        <w:outlineLvl w:val="1"/>
        <w:rPr>
          <w:sz w:val="24"/>
        </w:rPr>
      </w:pPr>
      <w:bookmarkStart w:id="331" w:name="_Toc127151532"/>
      <w:bookmarkStart w:id="332" w:name="_Toc150509283"/>
      <w:bookmarkStart w:id="333" w:name="_Toc151193774"/>
      <w:bookmarkStart w:id="334" w:name="_Toc151193630"/>
      <w:bookmarkStart w:id="335" w:name="_Toc195842897"/>
      <w:bookmarkStart w:id="336" w:name="_Toc127161446"/>
      <w:bookmarkStart w:id="337" w:name="_Toc226337228"/>
      <w:bookmarkStart w:id="338" w:name="_Toc305158874"/>
      <w:bookmarkStart w:id="339" w:name="_Toc151193920"/>
      <w:bookmarkStart w:id="340" w:name="_Toc226309776"/>
      <w:bookmarkStart w:id="341" w:name="_Toc127151733"/>
      <w:bookmarkStart w:id="342" w:name="_Toc164229373"/>
      <w:bookmarkStart w:id="343" w:name="_Toc164229227"/>
      <w:bookmarkStart w:id="344" w:name="_Toc520356157"/>
      <w:bookmarkStart w:id="345" w:name="_Toc142311034"/>
      <w:bookmarkStart w:id="346" w:name="_Toc265228370"/>
      <w:bookmarkStart w:id="347" w:name="_Toc151193702"/>
      <w:bookmarkStart w:id="348" w:name="_Toc305158800"/>
      <w:bookmarkStart w:id="349" w:name="_Toc151190159"/>
      <w:bookmarkStart w:id="350" w:name="_Toc150480770"/>
      <w:bookmarkStart w:id="351" w:name="_Toc164608801"/>
      <w:bookmarkStart w:id="352" w:name="_Toc150774737"/>
      <w:bookmarkStart w:id="353" w:name="_Toc226965805"/>
      <w:bookmarkStart w:id="354" w:name="_Toc226965722"/>
      <w:bookmarkStart w:id="355" w:name="_Toc151193846"/>
      <w:bookmarkStart w:id="356" w:name="_Toc149720825"/>
      <w:bookmarkStart w:id="357" w:name="_Toc164608646"/>
      <w:bookmarkStart w:id="358" w:name="_Toc150774632"/>
      <w:bookmarkStart w:id="359" w:name="_Toc164351626"/>
      <w:bookmarkStart w:id="360" w:name="_Toc264969222"/>
      <w:r>
        <w:rPr>
          <w:sz w:val="24"/>
        </w:rPr>
        <w:t>响应有效期</w:t>
      </w:r>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p>
    <w:p w14:paraId="69318F45">
      <w:pPr>
        <w:numPr>
          <w:ilvl w:val="1"/>
          <w:numId w:val="8"/>
        </w:numPr>
        <w:tabs>
          <w:tab w:val="left" w:pos="1080"/>
          <w:tab w:val="left" w:pos="2014"/>
        </w:tabs>
        <w:spacing w:line="360" w:lineRule="auto"/>
        <w:ind w:left="1077" w:hanging="720"/>
        <w:rPr>
          <w:sz w:val="24"/>
        </w:rPr>
      </w:pPr>
      <w:r>
        <w:rPr>
          <w:sz w:val="24"/>
        </w:rPr>
        <w:t>响应文件应在本单一来源采购文件《供应商须知资料表》中规定的响应有效期内保持有效，响应有效期少于单一来源采购文件规定期限的，其</w:t>
      </w:r>
      <w:r>
        <w:rPr>
          <w:b/>
          <w:sz w:val="24"/>
        </w:rPr>
        <w:t>响应无效</w:t>
      </w:r>
      <w:r>
        <w:rPr>
          <w:sz w:val="24"/>
        </w:rPr>
        <w:t>。</w:t>
      </w:r>
    </w:p>
    <w:p w14:paraId="1A0F2C26">
      <w:pPr>
        <w:numPr>
          <w:ilvl w:val="0"/>
          <w:numId w:val="8"/>
        </w:numPr>
        <w:tabs>
          <w:tab w:val="left" w:pos="360"/>
        </w:tabs>
        <w:spacing w:line="360" w:lineRule="auto"/>
        <w:ind w:left="357" w:hanging="357"/>
        <w:outlineLvl w:val="1"/>
        <w:rPr>
          <w:sz w:val="24"/>
        </w:rPr>
      </w:pPr>
      <w:bookmarkStart w:id="361" w:name="_Toc226965806"/>
      <w:bookmarkStart w:id="362" w:name="_Toc151193631"/>
      <w:bookmarkStart w:id="363" w:name="_Toc151193703"/>
      <w:bookmarkStart w:id="364" w:name="_Toc164229228"/>
      <w:bookmarkStart w:id="365" w:name="_Toc305158875"/>
      <w:bookmarkStart w:id="366" w:name="_Toc164229374"/>
      <w:bookmarkStart w:id="367" w:name="_Toc149720826"/>
      <w:bookmarkStart w:id="368" w:name="_Toc264969223"/>
      <w:bookmarkStart w:id="369" w:name="_Toc226337229"/>
      <w:bookmarkStart w:id="370" w:name="_Toc226965723"/>
      <w:bookmarkStart w:id="371" w:name="_Toc164608802"/>
      <w:bookmarkStart w:id="372" w:name="_Toc127161447"/>
      <w:bookmarkStart w:id="373" w:name="_Toc195842898"/>
      <w:bookmarkStart w:id="374" w:name="_Toc151193847"/>
      <w:bookmarkStart w:id="375" w:name="_Toc164351627"/>
      <w:bookmarkStart w:id="376" w:name="_Toc305158801"/>
      <w:bookmarkStart w:id="377" w:name="_Toc226309777"/>
      <w:bookmarkStart w:id="378" w:name="_Toc151193921"/>
      <w:bookmarkStart w:id="379" w:name="_Toc164608647"/>
      <w:bookmarkStart w:id="380" w:name="_Toc142311035"/>
      <w:bookmarkStart w:id="381" w:name="_Toc127151734"/>
      <w:bookmarkStart w:id="382" w:name="_Toc151190160"/>
      <w:bookmarkStart w:id="383" w:name="_Toc127151533"/>
      <w:bookmarkStart w:id="384" w:name="_Toc520356158"/>
      <w:bookmarkStart w:id="385" w:name="_Toc150509284"/>
      <w:bookmarkStart w:id="386" w:name="_Toc150774738"/>
      <w:bookmarkStart w:id="387" w:name="_Toc151193775"/>
      <w:bookmarkStart w:id="388" w:name="_Toc150774633"/>
      <w:bookmarkStart w:id="389" w:name="_Toc265228371"/>
      <w:bookmarkStart w:id="390" w:name="_Toc150480771"/>
      <w:r>
        <w:rPr>
          <w:sz w:val="24"/>
        </w:rPr>
        <w:t>响应文件的签署</w:t>
      </w:r>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r>
        <w:rPr>
          <w:sz w:val="24"/>
        </w:rPr>
        <w:t>、盖章</w:t>
      </w:r>
    </w:p>
    <w:p w14:paraId="4E5CAC43">
      <w:pPr>
        <w:numPr>
          <w:ilvl w:val="1"/>
          <w:numId w:val="8"/>
        </w:numPr>
        <w:tabs>
          <w:tab w:val="left" w:pos="1080"/>
          <w:tab w:val="left" w:pos="2014"/>
        </w:tabs>
        <w:spacing w:line="360" w:lineRule="auto"/>
        <w:ind w:left="1077" w:hanging="720"/>
        <w:rPr>
          <w:sz w:val="24"/>
        </w:rPr>
      </w:pPr>
      <w:bookmarkStart w:id="391" w:name="_Toc265228372"/>
      <w:bookmarkStart w:id="392" w:name="_Toc226309778"/>
      <w:bookmarkStart w:id="393" w:name="_Toc151190161"/>
      <w:bookmarkStart w:id="394" w:name="_Toc151193848"/>
      <w:bookmarkStart w:id="395" w:name="_Toc150480772"/>
      <w:bookmarkStart w:id="396" w:name="_Toc151193922"/>
      <w:bookmarkStart w:id="397" w:name="_Toc305158802"/>
      <w:bookmarkStart w:id="398" w:name="_Toc195842899"/>
      <w:bookmarkStart w:id="399" w:name="_Toc127151534"/>
      <w:bookmarkStart w:id="400" w:name="_Toc150509285"/>
      <w:bookmarkStart w:id="401" w:name="_Toc226965807"/>
      <w:bookmarkStart w:id="402" w:name="_Toc151193632"/>
      <w:bookmarkStart w:id="403" w:name="_Toc264969224"/>
      <w:bookmarkStart w:id="404" w:name="_Toc150774739"/>
      <w:bookmarkStart w:id="405" w:name="_Toc151193776"/>
      <w:bookmarkStart w:id="406" w:name="_Toc150774634"/>
      <w:bookmarkStart w:id="407" w:name="_Toc151193704"/>
      <w:bookmarkStart w:id="408" w:name="_Toc226965724"/>
      <w:bookmarkStart w:id="409" w:name="_Toc226337230"/>
      <w:bookmarkStart w:id="410" w:name="_Toc305158876"/>
      <w:bookmarkStart w:id="411" w:name="_Toc142311036"/>
      <w:bookmarkStart w:id="412" w:name="_Toc520356159"/>
      <w:r>
        <w:rPr>
          <w:sz w:val="24"/>
        </w:rPr>
        <w:t>响应文件要求签字的内容（如授权委托书等），</w:t>
      </w:r>
      <w:r>
        <w:rPr>
          <w:rFonts w:hint="eastAsia"/>
          <w:sz w:val="24"/>
        </w:rPr>
        <w:t>可以使用电子签章或</w:t>
      </w:r>
      <w:r>
        <w:rPr>
          <w:sz w:val="24"/>
        </w:rPr>
        <w:t>使用原件的电子件（电子件指扫描件、照片等形式电子文件）</w:t>
      </w:r>
      <w:r>
        <w:rPr>
          <w:rFonts w:hint="eastAsia"/>
          <w:sz w:val="24"/>
        </w:rPr>
        <w:t>；要求</w:t>
      </w:r>
      <w:r>
        <w:rPr>
          <w:sz w:val="24"/>
        </w:rPr>
        <w:t>第三方出具的盖章件原件（如联合协议、分包意向协议、制造商授权书等），响应文件中应使用原件的电子件。</w:t>
      </w:r>
    </w:p>
    <w:p w14:paraId="6545A4FC">
      <w:pPr>
        <w:numPr>
          <w:ilvl w:val="1"/>
          <w:numId w:val="8"/>
        </w:numPr>
        <w:tabs>
          <w:tab w:val="left" w:pos="1080"/>
          <w:tab w:val="left" w:pos="2014"/>
        </w:tabs>
        <w:spacing w:line="360" w:lineRule="auto"/>
        <w:ind w:left="1077" w:hanging="720"/>
        <w:rPr>
          <w:sz w:val="24"/>
        </w:rPr>
      </w:pPr>
      <w:r>
        <w:rPr>
          <w:sz w:val="24"/>
        </w:rPr>
        <w:t>单一来源采购文件要求盖章的内容，一般通过响应文件编制工具加盖电子签章。</w:t>
      </w:r>
    </w:p>
    <w:p w14:paraId="42C59A96">
      <w:pPr>
        <w:tabs>
          <w:tab w:val="left" w:pos="900"/>
          <w:tab w:val="left" w:pos="1080"/>
        </w:tabs>
        <w:spacing w:line="360" w:lineRule="auto"/>
        <w:ind w:left="357"/>
      </w:pPr>
    </w:p>
    <w:p w14:paraId="4BEFCBCA">
      <w:pPr>
        <w:pStyle w:val="185"/>
        <w:spacing w:before="0" w:line="360" w:lineRule="auto"/>
        <w:rPr>
          <w:rFonts w:ascii="Times New Roman" w:hAnsi="Times New Roman" w:eastAsia="宋体"/>
          <w:sz w:val="28"/>
        </w:rPr>
      </w:pPr>
      <w:r>
        <w:rPr>
          <w:rFonts w:ascii="Times New Roman" w:hAnsi="Times New Roman" w:eastAsia="宋体"/>
          <w:sz w:val="28"/>
        </w:rPr>
        <w:t>四   响应文件的提交</w:t>
      </w:r>
      <w:bookmarkEnd w:id="391"/>
      <w:bookmarkEnd w:id="392"/>
      <w:bookmarkEnd w:id="393"/>
      <w:bookmarkEnd w:id="394"/>
      <w:bookmarkEnd w:id="395"/>
      <w:bookmarkEnd w:id="396"/>
      <w:bookmarkEnd w:id="397"/>
      <w:bookmarkEnd w:id="398"/>
      <w:bookmarkEnd w:id="399"/>
      <w:bookmarkEnd w:id="400"/>
      <w:bookmarkEnd w:id="401"/>
      <w:bookmarkEnd w:id="402"/>
      <w:bookmarkEnd w:id="403"/>
      <w:bookmarkEnd w:id="404"/>
      <w:bookmarkEnd w:id="405"/>
      <w:bookmarkEnd w:id="406"/>
      <w:bookmarkEnd w:id="407"/>
      <w:bookmarkEnd w:id="408"/>
      <w:bookmarkEnd w:id="409"/>
      <w:bookmarkEnd w:id="410"/>
      <w:bookmarkEnd w:id="411"/>
      <w:bookmarkEnd w:id="412"/>
    </w:p>
    <w:p w14:paraId="1A76AE1A">
      <w:pPr>
        <w:numPr>
          <w:ilvl w:val="0"/>
          <w:numId w:val="8"/>
        </w:numPr>
        <w:tabs>
          <w:tab w:val="left" w:pos="360"/>
        </w:tabs>
        <w:spacing w:line="360" w:lineRule="auto"/>
        <w:ind w:left="357" w:hanging="357"/>
        <w:outlineLvl w:val="1"/>
        <w:rPr>
          <w:sz w:val="24"/>
        </w:rPr>
      </w:pPr>
      <w:bookmarkStart w:id="413" w:name="_Toc195842900"/>
      <w:bookmarkStart w:id="414" w:name="_Toc150480773"/>
      <w:bookmarkStart w:id="415" w:name="_Toc151193633"/>
      <w:bookmarkStart w:id="416" w:name="_Toc226337231"/>
      <w:bookmarkStart w:id="417" w:name="_Toc264969225"/>
      <w:bookmarkStart w:id="418" w:name="_Toc164608804"/>
      <w:bookmarkStart w:id="419" w:name="_Toc151193923"/>
      <w:bookmarkStart w:id="420" w:name="_Toc150774635"/>
      <w:bookmarkStart w:id="421" w:name="_Toc151193705"/>
      <w:bookmarkStart w:id="422" w:name="_Toc305158803"/>
      <w:bookmarkStart w:id="423" w:name="_Toc164229230"/>
      <w:bookmarkStart w:id="424" w:name="_Toc142311037"/>
      <w:bookmarkStart w:id="425" w:name="_Toc127161449"/>
      <w:bookmarkStart w:id="426" w:name="_Toc149720828"/>
      <w:bookmarkStart w:id="427" w:name="_Toc151193849"/>
      <w:bookmarkStart w:id="428" w:name="_Toc520356160"/>
      <w:bookmarkStart w:id="429" w:name="_Toc226965725"/>
      <w:bookmarkStart w:id="430" w:name="_Toc151190162"/>
      <w:bookmarkStart w:id="431" w:name="_Toc127151535"/>
      <w:bookmarkStart w:id="432" w:name="_Toc151193777"/>
      <w:bookmarkStart w:id="433" w:name="_Toc150509286"/>
      <w:bookmarkStart w:id="434" w:name="_Toc226309779"/>
      <w:bookmarkStart w:id="435" w:name="_Toc305158877"/>
      <w:bookmarkStart w:id="436" w:name="_Toc226965808"/>
      <w:bookmarkStart w:id="437" w:name="_Toc150774740"/>
      <w:bookmarkStart w:id="438" w:name="_Toc164351629"/>
      <w:bookmarkStart w:id="439" w:name="_Toc265228373"/>
      <w:bookmarkStart w:id="440" w:name="_Toc164608649"/>
      <w:bookmarkStart w:id="441" w:name="_Toc164229376"/>
      <w:bookmarkStart w:id="442" w:name="_Toc127151736"/>
      <w:r>
        <w:rPr>
          <w:sz w:val="24"/>
        </w:rPr>
        <w:t>响应文件的</w:t>
      </w:r>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r>
        <w:rPr>
          <w:sz w:val="24"/>
        </w:rPr>
        <w:t>提交</w:t>
      </w:r>
    </w:p>
    <w:p w14:paraId="257BFABC">
      <w:pPr>
        <w:numPr>
          <w:ilvl w:val="1"/>
          <w:numId w:val="8"/>
        </w:numPr>
        <w:tabs>
          <w:tab w:val="left" w:pos="1080"/>
          <w:tab w:val="left" w:pos="2014"/>
        </w:tabs>
        <w:spacing w:line="360" w:lineRule="auto"/>
        <w:ind w:left="1077" w:hanging="720"/>
        <w:rPr>
          <w:sz w:val="24"/>
        </w:rPr>
      </w:pPr>
      <w:r>
        <w:rPr>
          <w:sz w:val="24"/>
        </w:rPr>
        <w:t>本项目使用</w:t>
      </w:r>
      <w:r>
        <w:rPr>
          <w:rFonts w:hint="eastAsia"/>
          <w:sz w:val="24"/>
        </w:rPr>
        <w:t>政府采购一体化平台“苏采云”系统</w:t>
      </w:r>
      <w:r>
        <w:rPr>
          <w:sz w:val="24"/>
        </w:rPr>
        <w:t>。供应商根据单一来源采购文件及</w:t>
      </w:r>
      <w:r>
        <w:rPr>
          <w:rFonts w:hint="eastAsia" w:ascii="Times New Roman" w:hAnsi="Times New Roman" w:eastAsia="宋体" w:cs="Times New Roman"/>
          <w:sz w:val="24"/>
          <w:highlight w:val="none"/>
          <w:lang w:val="en-US" w:eastAsia="zh-CN" w:bidi="ar"/>
        </w:rPr>
        <w:t>政府采购一体化平台“苏采云”系统</w:t>
      </w:r>
      <w:r>
        <w:rPr>
          <w:sz w:val="24"/>
        </w:rPr>
        <w:t>供应商操作手册要求编制、生成并提交电子响应文件。</w:t>
      </w:r>
    </w:p>
    <w:p w14:paraId="5511B31E">
      <w:pPr>
        <w:numPr>
          <w:ilvl w:val="1"/>
          <w:numId w:val="8"/>
        </w:numPr>
        <w:tabs>
          <w:tab w:val="left" w:pos="1080"/>
          <w:tab w:val="left" w:pos="2014"/>
        </w:tabs>
        <w:spacing w:line="360" w:lineRule="auto"/>
        <w:ind w:left="1077" w:hanging="720"/>
        <w:rPr>
          <w:sz w:val="24"/>
        </w:rPr>
      </w:pPr>
      <w:r>
        <w:rPr>
          <w:sz w:val="24"/>
        </w:rPr>
        <w:t>采购人及采购代理机构拒绝接受通过电子交易平台以外任何形式提交的响应文件，保证金除外。</w:t>
      </w:r>
    </w:p>
    <w:p w14:paraId="3AC63C4B">
      <w:pPr>
        <w:numPr>
          <w:ilvl w:val="0"/>
          <w:numId w:val="8"/>
        </w:numPr>
        <w:tabs>
          <w:tab w:val="left" w:pos="360"/>
        </w:tabs>
        <w:spacing w:line="360" w:lineRule="auto"/>
        <w:ind w:left="357" w:hanging="357"/>
        <w:outlineLvl w:val="1"/>
        <w:rPr>
          <w:sz w:val="24"/>
        </w:rPr>
      </w:pPr>
      <w:r>
        <w:rPr>
          <w:sz w:val="24"/>
        </w:rPr>
        <w:t>提交响应文件截止时间</w:t>
      </w:r>
    </w:p>
    <w:p w14:paraId="7EB9A4A3">
      <w:pPr>
        <w:numPr>
          <w:ilvl w:val="1"/>
          <w:numId w:val="8"/>
        </w:numPr>
        <w:tabs>
          <w:tab w:val="left" w:pos="1080"/>
          <w:tab w:val="left" w:pos="2014"/>
        </w:tabs>
        <w:spacing w:line="360" w:lineRule="auto"/>
        <w:ind w:left="1077" w:hanging="720"/>
        <w:rPr>
          <w:sz w:val="24"/>
        </w:rPr>
      </w:pPr>
      <w:r>
        <w:rPr>
          <w:sz w:val="24"/>
        </w:rPr>
        <w:t>供应商应在单一来源采购文件要求的提交响应文件截止时间前，将电子响应文件提交至</w:t>
      </w:r>
      <w:r>
        <w:rPr>
          <w:rFonts w:hint="eastAsia" w:ascii="Times New Roman" w:hAnsi="Times New Roman" w:eastAsia="宋体" w:cs="Times New Roman"/>
          <w:sz w:val="24"/>
          <w:highlight w:val="none"/>
          <w:lang w:val="en-US" w:eastAsia="zh-CN" w:bidi="ar"/>
        </w:rPr>
        <w:t>政府采购一体化平台“苏采云”系统</w:t>
      </w:r>
      <w:r>
        <w:rPr>
          <w:sz w:val="24"/>
        </w:rPr>
        <w:t>平台。</w:t>
      </w:r>
    </w:p>
    <w:p w14:paraId="7AA6D1DC">
      <w:pPr>
        <w:numPr>
          <w:ilvl w:val="0"/>
          <w:numId w:val="8"/>
        </w:numPr>
        <w:tabs>
          <w:tab w:val="left" w:pos="360"/>
        </w:tabs>
        <w:spacing w:line="360" w:lineRule="auto"/>
        <w:ind w:left="357" w:hanging="357"/>
        <w:outlineLvl w:val="1"/>
        <w:rPr>
          <w:sz w:val="24"/>
        </w:rPr>
      </w:pPr>
      <w:bookmarkStart w:id="443" w:name="_Toc127151738"/>
      <w:bookmarkStart w:id="444" w:name="_Toc226337233"/>
      <w:bookmarkStart w:id="445" w:name="_Toc305158805"/>
      <w:bookmarkStart w:id="446" w:name="_Toc127151537"/>
      <w:bookmarkStart w:id="447" w:name="_Toc265228375"/>
      <w:bookmarkStart w:id="448" w:name="_Toc151190164"/>
      <w:bookmarkStart w:id="449" w:name="_Toc305158879"/>
      <w:bookmarkStart w:id="450" w:name="_Toc151193851"/>
      <w:bookmarkStart w:id="451" w:name="_Toc151193779"/>
      <w:bookmarkStart w:id="452" w:name="_Toc151193925"/>
      <w:bookmarkStart w:id="453" w:name="_Toc149720830"/>
      <w:bookmarkStart w:id="454" w:name="_Toc150480775"/>
      <w:bookmarkStart w:id="455" w:name="_Toc226309781"/>
      <w:bookmarkStart w:id="456" w:name="_Toc142311039"/>
      <w:bookmarkStart w:id="457" w:name="_Toc151193635"/>
      <w:bookmarkStart w:id="458" w:name="_Toc150774742"/>
      <w:bookmarkStart w:id="459" w:name="_Toc264969227"/>
      <w:bookmarkStart w:id="460" w:name="_Toc151193707"/>
      <w:bookmarkStart w:id="461" w:name="_Toc520356162"/>
      <w:bookmarkStart w:id="462" w:name="_Toc150509288"/>
      <w:bookmarkStart w:id="463" w:name="_Toc164351631"/>
      <w:bookmarkStart w:id="464" w:name="_Toc164229378"/>
      <w:bookmarkStart w:id="465" w:name="_Toc150774637"/>
      <w:bookmarkStart w:id="466" w:name="_Toc127161451"/>
      <w:bookmarkStart w:id="467" w:name="_Toc164608806"/>
      <w:bookmarkStart w:id="468" w:name="_Toc164229232"/>
      <w:bookmarkStart w:id="469" w:name="_Toc195842902"/>
      <w:bookmarkStart w:id="470" w:name="_Toc226965727"/>
      <w:bookmarkStart w:id="471" w:name="_Toc164608651"/>
      <w:bookmarkStart w:id="472" w:name="_Toc226965810"/>
      <w:r>
        <w:rPr>
          <w:sz w:val="24"/>
        </w:rPr>
        <w:t>响应文件的修改与撤回</w:t>
      </w:r>
      <w:bookmarkEnd w:id="443"/>
      <w:bookmarkEnd w:id="444"/>
      <w:bookmarkEnd w:id="445"/>
      <w:bookmarkEnd w:id="446"/>
      <w:bookmarkEnd w:id="447"/>
      <w:bookmarkEnd w:id="448"/>
      <w:bookmarkEnd w:id="449"/>
      <w:bookmarkEnd w:id="450"/>
      <w:bookmarkEnd w:id="451"/>
      <w:bookmarkEnd w:id="452"/>
      <w:bookmarkEnd w:id="453"/>
      <w:bookmarkEnd w:id="454"/>
      <w:bookmarkEnd w:id="455"/>
      <w:bookmarkEnd w:id="456"/>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p>
    <w:p w14:paraId="69AA40E1">
      <w:pPr>
        <w:numPr>
          <w:ilvl w:val="1"/>
          <w:numId w:val="8"/>
        </w:numPr>
        <w:tabs>
          <w:tab w:val="left" w:pos="1080"/>
          <w:tab w:val="left" w:pos="2014"/>
        </w:tabs>
        <w:spacing w:line="360" w:lineRule="auto"/>
        <w:ind w:left="1077" w:hanging="720"/>
        <w:rPr>
          <w:sz w:val="24"/>
        </w:rPr>
      </w:pPr>
      <w:r>
        <w:rPr>
          <w:sz w:val="24"/>
        </w:rPr>
        <w:t>响应文件提交截止时间前，供应商可以通过电子交易平台对所提交的响应文件进行补充、修改或者撤回。</w:t>
      </w:r>
    </w:p>
    <w:p w14:paraId="53370618">
      <w:pPr>
        <w:numPr>
          <w:ilvl w:val="1"/>
          <w:numId w:val="8"/>
        </w:numPr>
        <w:tabs>
          <w:tab w:val="left" w:pos="1080"/>
          <w:tab w:val="left" w:pos="2014"/>
        </w:tabs>
        <w:spacing w:line="360" w:lineRule="auto"/>
        <w:ind w:left="1077" w:hanging="720"/>
        <w:rPr>
          <w:sz w:val="24"/>
        </w:rPr>
      </w:pPr>
      <w:r>
        <w:rPr>
          <w:sz w:val="24"/>
        </w:rPr>
        <w:t>供应商对响应文件的补充、修改的内容应当按照单一来源采购文件要求签署、盖章，作为响应文件的组成部分。补充、修改的内容与响应文件不一致的，以补充、修改的内容为准。</w:t>
      </w:r>
    </w:p>
    <w:p w14:paraId="78156E68">
      <w:pPr>
        <w:spacing w:line="360" w:lineRule="auto"/>
        <w:rPr>
          <w:sz w:val="24"/>
        </w:rPr>
      </w:pPr>
    </w:p>
    <w:p w14:paraId="048D127A">
      <w:pPr>
        <w:pStyle w:val="185"/>
        <w:spacing w:before="0" w:line="360" w:lineRule="auto"/>
        <w:rPr>
          <w:rFonts w:ascii="Times New Roman" w:hAnsi="Times New Roman" w:eastAsia="宋体"/>
          <w:sz w:val="28"/>
        </w:rPr>
      </w:pPr>
      <w:bookmarkStart w:id="473" w:name="_Toc151190165"/>
      <w:bookmarkStart w:id="474" w:name="_Toc305158880"/>
      <w:bookmarkStart w:id="475" w:name="_Toc151193926"/>
      <w:bookmarkStart w:id="476" w:name="_Toc150774638"/>
      <w:bookmarkStart w:id="477" w:name="_Toc142311040"/>
      <w:bookmarkStart w:id="478" w:name="_Toc226965811"/>
      <w:bookmarkStart w:id="479" w:name="_Toc265228376"/>
      <w:bookmarkStart w:id="480" w:name="_Toc264969228"/>
      <w:bookmarkStart w:id="481" w:name="_Toc305158806"/>
      <w:bookmarkStart w:id="482" w:name="_Toc226337234"/>
      <w:bookmarkStart w:id="483" w:name="_Toc150509289"/>
      <w:bookmarkStart w:id="484" w:name="_Toc151193708"/>
      <w:bookmarkStart w:id="485" w:name="_Toc151193852"/>
      <w:bookmarkStart w:id="486" w:name="_Toc150774743"/>
      <w:bookmarkStart w:id="487" w:name="_Toc151193780"/>
      <w:bookmarkStart w:id="488" w:name="_Toc127151538"/>
      <w:bookmarkStart w:id="489" w:name="_Toc226309782"/>
      <w:bookmarkStart w:id="490" w:name="_Toc150480776"/>
      <w:bookmarkStart w:id="491" w:name="_Toc226965728"/>
      <w:bookmarkStart w:id="492" w:name="_Toc151193636"/>
      <w:bookmarkStart w:id="493" w:name="_Toc520356163"/>
      <w:bookmarkStart w:id="494" w:name="_Toc195842903"/>
      <w:r>
        <w:rPr>
          <w:rFonts w:ascii="Times New Roman" w:hAnsi="Times New Roman" w:eastAsia="宋体"/>
          <w:sz w:val="28"/>
        </w:rPr>
        <w:t xml:space="preserve">五   </w:t>
      </w:r>
      <w:bookmarkEnd w:id="473"/>
      <w:bookmarkEnd w:id="474"/>
      <w:bookmarkEnd w:id="475"/>
      <w:bookmarkEnd w:id="476"/>
      <w:bookmarkEnd w:id="477"/>
      <w:bookmarkEnd w:id="478"/>
      <w:bookmarkEnd w:id="479"/>
      <w:bookmarkEnd w:id="480"/>
      <w:bookmarkEnd w:id="481"/>
      <w:bookmarkEnd w:id="482"/>
      <w:bookmarkEnd w:id="483"/>
      <w:bookmarkEnd w:id="484"/>
      <w:bookmarkEnd w:id="485"/>
      <w:bookmarkEnd w:id="486"/>
      <w:bookmarkEnd w:id="487"/>
      <w:bookmarkEnd w:id="488"/>
      <w:bookmarkEnd w:id="489"/>
      <w:bookmarkEnd w:id="490"/>
      <w:bookmarkEnd w:id="491"/>
      <w:bookmarkEnd w:id="492"/>
      <w:bookmarkEnd w:id="493"/>
      <w:bookmarkEnd w:id="494"/>
      <w:r>
        <w:rPr>
          <w:rFonts w:ascii="Times New Roman" w:hAnsi="Times New Roman" w:eastAsia="宋体"/>
          <w:sz w:val="28"/>
        </w:rPr>
        <w:t>协商</w:t>
      </w:r>
    </w:p>
    <w:p w14:paraId="205858E7">
      <w:pPr>
        <w:numPr>
          <w:ilvl w:val="0"/>
          <w:numId w:val="8"/>
        </w:numPr>
        <w:tabs>
          <w:tab w:val="left" w:pos="360"/>
        </w:tabs>
        <w:spacing w:line="360" w:lineRule="auto"/>
        <w:ind w:left="357" w:hanging="357"/>
        <w:outlineLvl w:val="1"/>
        <w:rPr>
          <w:sz w:val="24"/>
        </w:rPr>
      </w:pPr>
      <w:r>
        <w:rPr>
          <w:sz w:val="24"/>
        </w:rPr>
        <w:t>解密</w:t>
      </w:r>
    </w:p>
    <w:p w14:paraId="7B742DC3">
      <w:pPr>
        <w:numPr>
          <w:ilvl w:val="1"/>
          <w:numId w:val="8"/>
        </w:numPr>
        <w:tabs>
          <w:tab w:val="left" w:pos="1080"/>
          <w:tab w:val="left" w:pos="2014"/>
        </w:tabs>
        <w:spacing w:line="360" w:lineRule="auto"/>
        <w:ind w:left="1077" w:hanging="720"/>
        <w:rPr>
          <w:sz w:val="24"/>
        </w:rPr>
      </w:pPr>
      <w:r>
        <w:rPr>
          <w:sz w:val="24"/>
        </w:rPr>
        <w:t>采购人或采购代理机构将按单一来源采购文件的规定，在提交响应文件截止时间的同一时间和《供应商须知资料表》约定的地点组织解密。本项目</w:t>
      </w:r>
      <w:r>
        <w:rPr>
          <w:rFonts w:ascii="宋体" w:hAnsi="宋体"/>
          <w:sz w:val="24"/>
        </w:rPr>
        <w:t>采用不见面招投标模式</w:t>
      </w:r>
      <w:r>
        <w:rPr>
          <w:rFonts w:hint="eastAsia" w:ascii="宋体" w:hAnsi="宋体"/>
          <w:sz w:val="24"/>
        </w:rPr>
        <w:t>，供应商使用</w:t>
      </w:r>
      <w:r>
        <w:rPr>
          <w:sz w:val="24"/>
        </w:rPr>
        <w:t>常州市政府采购业务管理平台</w:t>
      </w:r>
      <w:r>
        <w:rPr>
          <w:rFonts w:hint="eastAsia"/>
          <w:sz w:val="24"/>
        </w:rPr>
        <w:t>在线进行解密</w:t>
      </w:r>
      <w:r>
        <w:rPr>
          <w:sz w:val="24"/>
        </w:rPr>
        <w:t>。</w:t>
      </w:r>
      <w:r>
        <w:rPr>
          <w:rFonts w:hint="eastAsia"/>
          <w:sz w:val="24"/>
        </w:rPr>
        <w:t>条件允许的，也可以供应商携带CA到谈判现场解密。</w:t>
      </w:r>
    </w:p>
    <w:p w14:paraId="7BBE6164">
      <w:pPr>
        <w:numPr>
          <w:ilvl w:val="1"/>
          <w:numId w:val="8"/>
        </w:numPr>
        <w:tabs>
          <w:tab w:val="left" w:pos="1080"/>
          <w:tab w:val="left" w:pos="2014"/>
        </w:tabs>
        <w:spacing w:line="360" w:lineRule="auto"/>
        <w:ind w:left="1077" w:hanging="720"/>
        <w:rPr>
          <w:sz w:val="24"/>
        </w:rPr>
      </w:pPr>
      <w:r>
        <w:rPr>
          <w:sz w:val="24"/>
        </w:rPr>
        <w:t>本项目解密使用常州市政府采购业务管理平台。供应商应在规定的时间内对响应文件进行解密，因非系统原因导致的解密失败，视</w:t>
      </w:r>
      <w:r>
        <w:rPr>
          <w:b/>
          <w:sz w:val="24"/>
        </w:rPr>
        <w:t>为无效响应</w:t>
      </w:r>
      <w:r>
        <w:rPr>
          <w:sz w:val="24"/>
        </w:rPr>
        <w:t>。</w:t>
      </w:r>
    </w:p>
    <w:p w14:paraId="4F68E671">
      <w:pPr>
        <w:numPr>
          <w:ilvl w:val="0"/>
          <w:numId w:val="8"/>
        </w:numPr>
        <w:tabs>
          <w:tab w:val="left" w:pos="360"/>
        </w:tabs>
        <w:spacing w:line="360" w:lineRule="auto"/>
        <w:ind w:left="357" w:hanging="357"/>
        <w:outlineLvl w:val="1"/>
        <w:rPr>
          <w:sz w:val="24"/>
        </w:rPr>
      </w:pPr>
      <w:r>
        <w:rPr>
          <w:sz w:val="24"/>
        </w:rPr>
        <w:t>单一来源采购人员</w:t>
      </w:r>
    </w:p>
    <w:p w14:paraId="1DFDE576">
      <w:pPr>
        <w:numPr>
          <w:ilvl w:val="1"/>
          <w:numId w:val="8"/>
        </w:numPr>
        <w:tabs>
          <w:tab w:val="left" w:pos="1080"/>
          <w:tab w:val="left" w:pos="2014"/>
        </w:tabs>
        <w:spacing w:line="360" w:lineRule="auto"/>
        <w:ind w:left="1077" w:hanging="720"/>
        <w:rPr>
          <w:sz w:val="24"/>
        </w:rPr>
      </w:pPr>
      <w:bookmarkStart w:id="495" w:name="_Toc520356166"/>
      <w:r>
        <w:rPr>
          <w:sz w:val="24"/>
        </w:rPr>
        <w:t>采购人、采购代理机构组织具有相关经验的专业人员与供应商商定合理的成交价格并保证采购项目质量。</w:t>
      </w:r>
    </w:p>
    <w:bookmarkEnd w:id="495"/>
    <w:p w14:paraId="795B44AB">
      <w:pPr>
        <w:numPr>
          <w:ilvl w:val="0"/>
          <w:numId w:val="8"/>
        </w:numPr>
        <w:tabs>
          <w:tab w:val="left" w:pos="360"/>
        </w:tabs>
        <w:spacing w:line="360" w:lineRule="auto"/>
        <w:ind w:left="357" w:hanging="357"/>
        <w:outlineLvl w:val="1"/>
        <w:rPr>
          <w:sz w:val="24"/>
        </w:rPr>
      </w:pPr>
      <w:bookmarkStart w:id="496" w:name="_Toc520356169"/>
      <w:r>
        <w:rPr>
          <w:sz w:val="24"/>
        </w:rPr>
        <w:t xml:space="preserve">协商程序 </w:t>
      </w:r>
    </w:p>
    <w:p w14:paraId="47B698A0">
      <w:pPr>
        <w:numPr>
          <w:ilvl w:val="1"/>
          <w:numId w:val="8"/>
        </w:numPr>
        <w:tabs>
          <w:tab w:val="left" w:pos="1080"/>
          <w:tab w:val="left" w:pos="2014"/>
        </w:tabs>
        <w:spacing w:line="360" w:lineRule="auto"/>
        <w:ind w:left="1077" w:hanging="720"/>
        <w:rPr>
          <w:sz w:val="24"/>
        </w:rPr>
      </w:pPr>
      <w:r>
        <w:rPr>
          <w:sz w:val="24"/>
        </w:rPr>
        <w:t>见第三章《协商程序》。</w:t>
      </w:r>
    </w:p>
    <w:p w14:paraId="28D982D5">
      <w:pPr>
        <w:tabs>
          <w:tab w:val="left" w:pos="360"/>
          <w:tab w:val="left" w:pos="1080"/>
        </w:tabs>
        <w:spacing w:line="360" w:lineRule="auto"/>
        <w:ind w:left="1080"/>
        <w:rPr>
          <w:sz w:val="24"/>
        </w:rPr>
      </w:pPr>
    </w:p>
    <w:p w14:paraId="3295EAD4">
      <w:pPr>
        <w:pStyle w:val="185"/>
        <w:spacing w:before="0" w:line="360" w:lineRule="auto"/>
        <w:rPr>
          <w:rFonts w:ascii="Times New Roman" w:hAnsi="Times New Roman" w:eastAsia="宋体"/>
          <w:sz w:val="28"/>
        </w:rPr>
      </w:pPr>
      <w:bookmarkStart w:id="497" w:name="_Toc305158813"/>
      <w:bookmarkStart w:id="498" w:name="_Toc226965735"/>
      <w:bookmarkStart w:id="499" w:name="_Toc151193643"/>
      <w:bookmarkStart w:id="500" w:name="_Toc150774750"/>
      <w:bookmarkStart w:id="501" w:name="_Toc127151545"/>
      <w:bookmarkStart w:id="502" w:name="_Toc150480783"/>
      <w:bookmarkStart w:id="503" w:name="_Toc226965818"/>
      <w:bookmarkStart w:id="504" w:name="_Toc264969235"/>
      <w:bookmarkStart w:id="505" w:name="_Toc151193933"/>
      <w:bookmarkStart w:id="506" w:name="_Toc142311047"/>
      <w:bookmarkStart w:id="507" w:name="_Toc226337241"/>
      <w:bookmarkStart w:id="508" w:name="_Toc151193859"/>
      <w:bookmarkStart w:id="509" w:name="_Toc305158887"/>
      <w:bookmarkStart w:id="510" w:name="_Toc150509296"/>
      <w:bookmarkStart w:id="511" w:name="_Toc195842910"/>
      <w:bookmarkStart w:id="512" w:name="_Toc151190172"/>
      <w:bookmarkStart w:id="513" w:name="_Toc151193787"/>
      <w:bookmarkStart w:id="514" w:name="_Toc226309789"/>
      <w:bookmarkStart w:id="515" w:name="_Toc151193715"/>
      <w:bookmarkStart w:id="516" w:name="_Toc265228383"/>
      <w:bookmarkStart w:id="517" w:name="_Toc150774645"/>
      <w:r>
        <w:rPr>
          <w:rFonts w:ascii="Times New Roman" w:hAnsi="Times New Roman" w:eastAsia="宋体"/>
          <w:sz w:val="28"/>
        </w:rPr>
        <w:t xml:space="preserve">六   </w:t>
      </w:r>
      <w:bookmarkEnd w:id="496"/>
      <w:r>
        <w:rPr>
          <w:rFonts w:ascii="Times New Roman" w:hAnsi="Times New Roman" w:eastAsia="宋体"/>
          <w:sz w:val="28"/>
        </w:rPr>
        <w:t>确定</w:t>
      </w:r>
      <w:bookmarkEnd w:id="497"/>
      <w:bookmarkEnd w:id="498"/>
      <w:bookmarkEnd w:id="499"/>
      <w:bookmarkEnd w:id="500"/>
      <w:bookmarkEnd w:id="501"/>
      <w:bookmarkEnd w:id="502"/>
      <w:bookmarkEnd w:id="503"/>
      <w:bookmarkEnd w:id="504"/>
      <w:bookmarkEnd w:id="505"/>
      <w:bookmarkEnd w:id="506"/>
      <w:bookmarkEnd w:id="507"/>
      <w:bookmarkEnd w:id="508"/>
      <w:bookmarkEnd w:id="509"/>
      <w:bookmarkEnd w:id="510"/>
      <w:bookmarkEnd w:id="511"/>
      <w:bookmarkEnd w:id="512"/>
      <w:bookmarkEnd w:id="513"/>
      <w:bookmarkEnd w:id="514"/>
      <w:bookmarkEnd w:id="515"/>
      <w:bookmarkEnd w:id="516"/>
      <w:bookmarkEnd w:id="517"/>
      <w:r>
        <w:rPr>
          <w:rFonts w:ascii="Times New Roman" w:hAnsi="Times New Roman" w:eastAsia="宋体"/>
          <w:sz w:val="28"/>
        </w:rPr>
        <w:t>成交供应商</w:t>
      </w:r>
    </w:p>
    <w:p w14:paraId="2FFB90B0">
      <w:pPr>
        <w:tabs>
          <w:tab w:val="left" w:pos="900"/>
          <w:tab w:val="left" w:pos="1080"/>
          <w:tab w:val="left" w:pos="1589"/>
        </w:tabs>
        <w:spacing w:line="360" w:lineRule="auto"/>
        <w:ind w:left="900"/>
        <w:rPr>
          <w:sz w:val="24"/>
        </w:rPr>
      </w:pPr>
      <w:bookmarkStart w:id="518" w:name="_Toc226337243"/>
      <w:bookmarkStart w:id="519" w:name="_Toc164608816"/>
      <w:bookmarkStart w:id="520" w:name="_Toc305158889"/>
      <w:bookmarkStart w:id="521" w:name="_Toc151193861"/>
      <w:bookmarkStart w:id="522" w:name="_Toc226309791"/>
      <w:bookmarkStart w:id="523" w:name="_Toc226965820"/>
      <w:bookmarkStart w:id="524" w:name="_Toc265228385"/>
      <w:bookmarkStart w:id="525" w:name="_Toc151193789"/>
      <w:bookmarkStart w:id="526" w:name="_Toc150480785"/>
      <w:bookmarkStart w:id="527" w:name="_Toc264969237"/>
      <w:bookmarkStart w:id="528" w:name="_Toc195842912"/>
      <w:bookmarkStart w:id="529" w:name="_Toc127151547"/>
      <w:bookmarkStart w:id="530" w:name="_Toc151193935"/>
      <w:bookmarkStart w:id="531" w:name="_Toc142311049"/>
      <w:bookmarkStart w:id="532" w:name="_Toc150509298"/>
      <w:bookmarkStart w:id="533" w:name="_Toc226965737"/>
      <w:bookmarkStart w:id="534" w:name="_Toc151193645"/>
      <w:bookmarkStart w:id="535" w:name="_Toc150774752"/>
      <w:bookmarkStart w:id="536" w:name="_Toc305158815"/>
      <w:bookmarkStart w:id="537" w:name="_Toc164229388"/>
      <w:bookmarkStart w:id="538" w:name="_Toc151193717"/>
      <w:bookmarkStart w:id="539" w:name="_Toc149720840"/>
      <w:bookmarkStart w:id="540" w:name="_Toc127151748"/>
      <w:bookmarkStart w:id="541" w:name="_Toc164229242"/>
      <w:bookmarkStart w:id="542" w:name="_Toc127161461"/>
      <w:bookmarkStart w:id="543" w:name="_Toc150774647"/>
      <w:bookmarkStart w:id="544" w:name="_Toc164608661"/>
      <w:bookmarkStart w:id="545" w:name="_Toc151190174"/>
      <w:bookmarkStart w:id="546" w:name="_Toc164351641"/>
    </w:p>
    <w:p w14:paraId="7D63AA94">
      <w:pPr>
        <w:numPr>
          <w:ilvl w:val="0"/>
          <w:numId w:val="8"/>
        </w:numPr>
        <w:tabs>
          <w:tab w:val="left" w:pos="360"/>
        </w:tabs>
        <w:spacing w:line="360" w:lineRule="auto"/>
        <w:ind w:left="357" w:hanging="357"/>
        <w:outlineLvl w:val="1"/>
        <w:rPr>
          <w:sz w:val="24"/>
        </w:rPr>
      </w:pPr>
      <w:r>
        <w:rPr>
          <w:sz w:val="24"/>
        </w:rPr>
        <w:t>确定</w:t>
      </w:r>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bookmarkEnd w:id="533"/>
      <w:bookmarkEnd w:id="534"/>
      <w:bookmarkEnd w:id="535"/>
      <w:bookmarkEnd w:id="536"/>
      <w:bookmarkEnd w:id="537"/>
      <w:bookmarkEnd w:id="538"/>
      <w:bookmarkEnd w:id="539"/>
      <w:bookmarkEnd w:id="540"/>
      <w:bookmarkEnd w:id="541"/>
      <w:bookmarkEnd w:id="542"/>
      <w:bookmarkEnd w:id="543"/>
      <w:bookmarkEnd w:id="544"/>
      <w:bookmarkEnd w:id="545"/>
      <w:bookmarkEnd w:id="546"/>
      <w:r>
        <w:rPr>
          <w:sz w:val="24"/>
        </w:rPr>
        <w:t>成交供应商</w:t>
      </w:r>
    </w:p>
    <w:p w14:paraId="20787247">
      <w:pPr>
        <w:numPr>
          <w:ilvl w:val="1"/>
          <w:numId w:val="8"/>
        </w:numPr>
        <w:tabs>
          <w:tab w:val="left" w:pos="1080"/>
          <w:tab w:val="left" w:pos="2014"/>
        </w:tabs>
        <w:spacing w:line="360" w:lineRule="auto"/>
        <w:ind w:left="1077" w:hanging="720"/>
        <w:rPr>
          <w:sz w:val="24"/>
        </w:rPr>
      </w:pPr>
      <w:r>
        <w:rPr>
          <w:sz w:val="24"/>
        </w:rPr>
        <w:t>采购人在收到单一来源采购人员编写的协商情况记录后，确定成交供应商。</w:t>
      </w:r>
    </w:p>
    <w:p w14:paraId="3A237858">
      <w:pPr>
        <w:numPr>
          <w:ilvl w:val="0"/>
          <w:numId w:val="8"/>
        </w:numPr>
        <w:tabs>
          <w:tab w:val="left" w:pos="360"/>
        </w:tabs>
        <w:spacing w:line="360" w:lineRule="auto"/>
        <w:ind w:left="357" w:hanging="357"/>
        <w:outlineLvl w:val="1"/>
        <w:rPr>
          <w:sz w:val="24"/>
        </w:rPr>
      </w:pPr>
      <w:bookmarkStart w:id="547" w:name="_Toc305158891"/>
      <w:bookmarkStart w:id="548" w:name="_Toc305158817"/>
      <w:bookmarkStart w:id="549" w:name="_Toc150480787"/>
      <w:bookmarkStart w:id="550" w:name="_Toc226309793"/>
      <w:bookmarkStart w:id="551" w:name="_Toc164608818"/>
      <w:bookmarkStart w:id="552" w:name="_Toc164608663"/>
      <w:bookmarkStart w:id="553" w:name="_Toc151193647"/>
      <w:bookmarkStart w:id="554" w:name="_Toc142311051"/>
      <w:bookmarkStart w:id="555" w:name="_Toc150774649"/>
      <w:bookmarkStart w:id="556" w:name="_Toc226965822"/>
      <w:bookmarkStart w:id="557" w:name="_Toc164351643"/>
      <w:bookmarkStart w:id="558" w:name="_Toc151193791"/>
      <w:bookmarkStart w:id="559" w:name="_Toc151193937"/>
      <w:bookmarkStart w:id="560" w:name="_Toc164229390"/>
      <w:bookmarkStart w:id="561" w:name="_Toc150509300"/>
      <w:bookmarkStart w:id="562" w:name="_Toc127151549"/>
      <w:bookmarkStart w:id="563" w:name="_Toc151190176"/>
      <w:bookmarkStart w:id="564" w:name="_Toc265228387"/>
      <w:bookmarkStart w:id="565" w:name="_Toc150774754"/>
      <w:bookmarkStart w:id="566" w:name="_Toc195842914"/>
      <w:bookmarkStart w:id="567" w:name="_Toc149720842"/>
      <w:bookmarkStart w:id="568" w:name="_Toc264969239"/>
      <w:bookmarkStart w:id="569" w:name="_Toc127161463"/>
      <w:bookmarkStart w:id="570" w:name="_Toc151193719"/>
      <w:bookmarkStart w:id="571" w:name="_Toc226337245"/>
      <w:bookmarkStart w:id="572" w:name="_Toc127151750"/>
      <w:bookmarkStart w:id="573" w:name="_Toc226965739"/>
      <w:bookmarkStart w:id="574" w:name="_Toc151193863"/>
      <w:bookmarkStart w:id="575" w:name="_Toc164229244"/>
      <w:bookmarkStart w:id="576" w:name="_Toc520356176"/>
      <w:bookmarkStart w:id="577" w:name="_Ref467306425"/>
      <w:bookmarkStart w:id="578" w:name="_Ref467307090"/>
      <w:r>
        <w:rPr>
          <w:sz w:val="24"/>
        </w:rPr>
        <w:t>成交公告与成交通知书</w:t>
      </w:r>
      <w:bookmarkEnd w:id="547"/>
      <w:bookmarkEnd w:id="548"/>
    </w:p>
    <w:p w14:paraId="0B3BE008">
      <w:pPr>
        <w:numPr>
          <w:ilvl w:val="1"/>
          <w:numId w:val="8"/>
        </w:numPr>
        <w:tabs>
          <w:tab w:val="left" w:pos="1080"/>
          <w:tab w:val="left" w:pos="2014"/>
        </w:tabs>
        <w:spacing w:line="360" w:lineRule="auto"/>
        <w:ind w:left="1077" w:hanging="720"/>
        <w:rPr>
          <w:color w:val="000000"/>
          <w:sz w:val="24"/>
        </w:rPr>
      </w:pPr>
      <w:r>
        <w:rPr>
          <w:color w:val="000000"/>
          <w:sz w:val="24"/>
        </w:rPr>
        <w:t>采购人或采购代理机构自成交供应商确定后2个工作日内，在</w:t>
      </w:r>
      <w:r>
        <w:rPr>
          <w:sz w:val="24"/>
        </w:rPr>
        <w:t>常州市政府采购网</w:t>
      </w:r>
      <w:r>
        <w:rPr>
          <w:color w:val="000000"/>
          <w:sz w:val="24"/>
        </w:rPr>
        <w:t>公告成交结果，同时向成交供应商发出成交通知书，成交公告期限为1个工作日。</w:t>
      </w:r>
    </w:p>
    <w:p w14:paraId="516F2F43">
      <w:pPr>
        <w:numPr>
          <w:ilvl w:val="1"/>
          <w:numId w:val="8"/>
        </w:numPr>
        <w:tabs>
          <w:tab w:val="left" w:pos="1080"/>
          <w:tab w:val="left" w:pos="2014"/>
        </w:tabs>
        <w:spacing w:line="360" w:lineRule="auto"/>
        <w:ind w:left="1080" w:hanging="720"/>
        <w:rPr>
          <w:sz w:val="24"/>
        </w:rPr>
      </w:pPr>
      <w:r>
        <w:rPr>
          <w:sz w:val="24"/>
        </w:rPr>
        <w:t>成交通知书对采购人和成交供应商具有同等法律效力。成交通知书发出后，采购人改变成交结果的，或者成交供应商放弃成交项目的，应当依法承担法律责任。</w:t>
      </w:r>
    </w:p>
    <w:p w14:paraId="5BB89801">
      <w:pPr>
        <w:numPr>
          <w:ilvl w:val="0"/>
          <w:numId w:val="8"/>
        </w:numPr>
        <w:tabs>
          <w:tab w:val="left" w:pos="360"/>
        </w:tabs>
        <w:spacing w:line="360" w:lineRule="auto"/>
        <w:ind w:left="357" w:hanging="357"/>
        <w:outlineLvl w:val="1"/>
        <w:rPr>
          <w:sz w:val="24"/>
        </w:rPr>
      </w:pPr>
      <w:r>
        <w:rPr>
          <w:sz w:val="24"/>
        </w:rPr>
        <w:t>终止</w:t>
      </w:r>
    </w:p>
    <w:p w14:paraId="528EE269">
      <w:pPr>
        <w:numPr>
          <w:ilvl w:val="1"/>
          <w:numId w:val="8"/>
        </w:numPr>
        <w:tabs>
          <w:tab w:val="left" w:pos="1080"/>
          <w:tab w:val="left" w:pos="2014"/>
        </w:tabs>
        <w:spacing w:line="360" w:lineRule="auto"/>
        <w:ind w:left="1077" w:hanging="720"/>
        <w:rPr>
          <w:sz w:val="24"/>
        </w:rPr>
      </w:pPr>
      <w:r>
        <w:rPr>
          <w:sz w:val="24"/>
        </w:rPr>
        <w:t>出现下列情形之一的，采购人或采购代理机构将终止采购活动，发布项目终止公告并说明原因，重新开展采购活动：</w:t>
      </w:r>
    </w:p>
    <w:p w14:paraId="69997C1F">
      <w:pPr>
        <w:numPr>
          <w:ilvl w:val="2"/>
          <w:numId w:val="8"/>
        </w:numPr>
        <w:spacing w:line="360" w:lineRule="auto"/>
        <w:rPr>
          <w:sz w:val="24"/>
        </w:rPr>
      </w:pPr>
      <w:r>
        <w:rPr>
          <w:sz w:val="24"/>
        </w:rPr>
        <w:t>因情况变化，不再符合规定的单一来源采购方式适用情形的；</w:t>
      </w:r>
    </w:p>
    <w:p w14:paraId="759133A4">
      <w:pPr>
        <w:numPr>
          <w:ilvl w:val="2"/>
          <w:numId w:val="8"/>
        </w:numPr>
        <w:spacing w:line="360" w:lineRule="auto"/>
        <w:rPr>
          <w:sz w:val="24"/>
        </w:rPr>
      </w:pPr>
      <w:r>
        <w:rPr>
          <w:sz w:val="24"/>
        </w:rPr>
        <w:t>出现影响采购公正的违法、违规行为的；</w:t>
      </w:r>
    </w:p>
    <w:p w14:paraId="039F0B8A">
      <w:pPr>
        <w:numPr>
          <w:ilvl w:val="2"/>
          <w:numId w:val="8"/>
        </w:numPr>
        <w:spacing w:line="360" w:lineRule="auto"/>
        <w:rPr>
          <w:sz w:val="24"/>
        </w:rPr>
      </w:pPr>
      <w:r>
        <w:rPr>
          <w:sz w:val="24"/>
        </w:rPr>
        <w:t>报价超过采购预算的。</w:t>
      </w:r>
    </w:p>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bookmarkEnd w:id="563"/>
    <w:bookmarkEnd w:id="564"/>
    <w:bookmarkEnd w:id="565"/>
    <w:bookmarkEnd w:id="566"/>
    <w:bookmarkEnd w:id="567"/>
    <w:bookmarkEnd w:id="568"/>
    <w:bookmarkEnd w:id="569"/>
    <w:bookmarkEnd w:id="570"/>
    <w:bookmarkEnd w:id="571"/>
    <w:bookmarkEnd w:id="572"/>
    <w:bookmarkEnd w:id="573"/>
    <w:bookmarkEnd w:id="574"/>
    <w:bookmarkEnd w:id="575"/>
    <w:p w14:paraId="49CB983C">
      <w:pPr>
        <w:numPr>
          <w:ilvl w:val="0"/>
          <w:numId w:val="8"/>
        </w:numPr>
        <w:tabs>
          <w:tab w:val="left" w:pos="360"/>
        </w:tabs>
        <w:spacing w:line="360" w:lineRule="auto"/>
        <w:ind w:left="357" w:hanging="357"/>
        <w:outlineLvl w:val="1"/>
        <w:rPr>
          <w:sz w:val="24"/>
        </w:rPr>
      </w:pPr>
      <w:bookmarkStart w:id="579" w:name="_Toc164351644"/>
      <w:bookmarkStart w:id="580" w:name="_Toc265228388"/>
      <w:bookmarkStart w:id="581" w:name="_Toc149720843"/>
      <w:bookmarkStart w:id="582" w:name="_Toc151193864"/>
      <w:bookmarkStart w:id="583" w:name="_Toc195842915"/>
      <w:bookmarkStart w:id="584" w:name="_Toc164608664"/>
      <w:bookmarkStart w:id="585" w:name="_Ref467306978"/>
      <w:bookmarkStart w:id="586" w:name="_Toc127161464"/>
      <w:bookmarkStart w:id="587" w:name="_Toc226965823"/>
      <w:bookmarkStart w:id="588" w:name="_Toc142311052"/>
      <w:bookmarkStart w:id="589" w:name="_Toc164608819"/>
      <w:bookmarkStart w:id="590" w:name="_Toc226337246"/>
      <w:bookmarkStart w:id="591" w:name="_Toc520356175"/>
      <w:bookmarkStart w:id="592" w:name="_Toc151193938"/>
      <w:bookmarkStart w:id="593" w:name="_Toc150774650"/>
      <w:bookmarkStart w:id="594" w:name="_Toc150774755"/>
      <w:bookmarkStart w:id="595" w:name="_Toc151193720"/>
      <w:bookmarkStart w:id="596" w:name="_Toc305158892"/>
      <w:bookmarkStart w:id="597" w:name="_Toc164229391"/>
      <w:bookmarkStart w:id="598" w:name="_Toc150509301"/>
      <w:bookmarkStart w:id="599" w:name="_Toc150480788"/>
      <w:bookmarkStart w:id="600" w:name="_Toc226965740"/>
      <w:bookmarkStart w:id="601" w:name="_Toc151193648"/>
      <w:bookmarkStart w:id="602" w:name="_Toc127151550"/>
      <w:bookmarkStart w:id="603" w:name="_Ref467307062"/>
      <w:bookmarkStart w:id="604" w:name="_Toc226309794"/>
      <w:bookmarkStart w:id="605" w:name="_Toc164229245"/>
      <w:bookmarkStart w:id="606" w:name="_Toc305158818"/>
      <w:bookmarkStart w:id="607" w:name="_Ref467306377"/>
      <w:bookmarkStart w:id="608" w:name="_Ref467307204"/>
      <w:bookmarkStart w:id="609" w:name="_Toc127151751"/>
      <w:bookmarkStart w:id="610" w:name="_Toc151193792"/>
      <w:bookmarkStart w:id="611" w:name="_Toc151190177"/>
      <w:bookmarkStart w:id="612" w:name="_Toc264969240"/>
      <w:r>
        <w:rPr>
          <w:sz w:val="24"/>
        </w:rPr>
        <w:t>签订合同</w:t>
      </w:r>
      <w:bookmarkEnd w:id="579"/>
      <w:bookmarkEnd w:id="580"/>
      <w:bookmarkEnd w:id="581"/>
      <w:bookmarkEnd w:id="582"/>
      <w:bookmarkEnd w:id="583"/>
      <w:bookmarkEnd w:id="584"/>
      <w:bookmarkEnd w:id="585"/>
      <w:bookmarkEnd w:id="586"/>
      <w:bookmarkEnd w:id="587"/>
      <w:bookmarkEnd w:id="588"/>
      <w:bookmarkEnd w:id="589"/>
      <w:bookmarkEnd w:id="590"/>
      <w:bookmarkEnd w:id="591"/>
      <w:bookmarkEnd w:id="592"/>
      <w:bookmarkEnd w:id="593"/>
      <w:bookmarkEnd w:id="594"/>
      <w:bookmarkEnd w:id="595"/>
      <w:bookmarkEnd w:id="596"/>
      <w:bookmarkEnd w:id="597"/>
      <w:bookmarkEnd w:id="598"/>
      <w:bookmarkEnd w:id="599"/>
      <w:bookmarkEnd w:id="600"/>
      <w:bookmarkEnd w:id="601"/>
      <w:bookmarkEnd w:id="602"/>
      <w:bookmarkEnd w:id="603"/>
      <w:bookmarkEnd w:id="604"/>
      <w:bookmarkEnd w:id="605"/>
      <w:bookmarkEnd w:id="606"/>
      <w:bookmarkEnd w:id="607"/>
      <w:bookmarkEnd w:id="608"/>
      <w:bookmarkEnd w:id="609"/>
      <w:bookmarkEnd w:id="610"/>
      <w:bookmarkEnd w:id="611"/>
      <w:bookmarkEnd w:id="612"/>
    </w:p>
    <w:p w14:paraId="16D2F553">
      <w:pPr>
        <w:numPr>
          <w:ilvl w:val="1"/>
          <w:numId w:val="8"/>
        </w:numPr>
        <w:tabs>
          <w:tab w:val="left" w:pos="1080"/>
          <w:tab w:val="left" w:pos="2014"/>
        </w:tabs>
        <w:spacing w:line="360" w:lineRule="auto"/>
        <w:ind w:left="1077" w:hanging="720"/>
        <w:rPr>
          <w:sz w:val="24"/>
        </w:rPr>
      </w:pPr>
      <w:r>
        <w:rPr>
          <w:sz w:val="24"/>
        </w:rPr>
        <w:t>采购人与成交供应商应当自成交通知书发出之日起30日内，按照单一来源采购文件确定的合同文本以及采购标的、规格型号、采购金额、采购数量、技术和服务要求等事项签订政府采购合同。</w:t>
      </w:r>
    </w:p>
    <w:p w14:paraId="59B22E68">
      <w:pPr>
        <w:numPr>
          <w:ilvl w:val="1"/>
          <w:numId w:val="8"/>
        </w:numPr>
        <w:tabs>
          <w:tab w:val="left" w:pos="1080"/>
          <w:tab w:val="left" w:pos="2014"/>
        </w:tabs>
        <w:spacing w:line="360" w:lineRule="auto"/>
        <w:ind w:left="1077" w:hanging="720"/>
        <w:rPr>
          <w:sz w:val="24"/>
        </w:rPr>
      </w:pPr>
      <w:r>
        <w:rPr>
          <w:sz w:val="24"/>
        </w:rPr>
        <w:t>成交供应商拒绝签订政府采购合同的，采购人可以重新开展采购活动。拒绝签订政府采购合同的成交供应商不得参加对该项目重新开展的采购活动。</w:t>
      </w:r>
    </w:p>
    <w:p w14:paraId="75791F4B">
      <w:pPr>
        <w:numPr>
          <w:ilvl w:val="1"/>
          <w:numId w:val="8"/>
        </w:numPr>
        <w:tabs>
          <w:tab w:val="left" w:pos="1080"/>
          <w:tab w:val="left" w:pos="2014"/>
        </w:tabs>
        <w:spacing w:line="360" w:lineRule="auto"/>
        <w:ind w:left="1077" w:hanging="720"/>
        <w:rPr>
          <w:sz w:val="24"/>
        </w:rPr>
      </w:pPr>
      <w:r>
        <w:rPr>
          <w:sz w:val="24"/>
        </w:rPr>
        <w:t>联合体成交的，联合体各方应当共同与采购人签订合同，就成交项目向采购人承担连带责任。</w:t>
      </w:r>
    </w:p>
    <w:p w14:paraId="5CBF56B6">
      <w:pPr>
        <w:numPr>
          <w:ilvl w:val="1"/>
          <w:numId w:val="8"/>
        </w:numPr>
        <w:tabs>
          <w:tab w:val="left" w:pos="1080"/>
          <w:tab w:val="left" w:pos="2014"/>
        </w:tabs>
        <w:spacing w:line="360" w:lineRule="auto"/>
        <w:ind w:left="1077" w:hanging="720"/>
        <w:rPr>
          <w:sz w:val="24"/>
        </w:rPr>
      </w:pPr>
      <w:r>
        <w:rPr>
          <w:sz w:val="24"/>
        </w:rPr>
        <w:t>政府采购合同不能转包。</w:t>
      </w:r>
    </w:p>
    <w:p w14:paraId="5E1E46BD">
      <w:pPr>
        <w:numPr>
          <w:ilvl w:val="1"/>
          <w:numId w:val="8"/>
        </w:numPr>
        <w:tabs>
          <w:tab w:val="left" w:pos="1080"/>
          <w:tab w:val="left" w:pos="2014"/>
        </w:tabs>
        <w:spacing w:line="360" w:lineRule="auto"/>
        <w:ind w:left="1077" w:hanging="720"/>
        <w:rPr>
          <w:sz w:val="24"/>
        </w:rPr>
      </w:pPr>
      <w:r>
        <w:rPr>
          <w:sz w:val="24"/>
        </w:rPr>
        <w:t>采购人允许采用分包方式履行合同的，成交供应商可以依法采取分包方式履行合同。本项目是否允许分包，见《供应商须知资料表》。政府采购合同分包履行的，应当在响应文件中载明分包承担主体，分包承担主体应当具备相应资质条件且不得再次分包</w:t>
      </w:r>
      <w:r>
        <w:rPr>
          <w:b/>
          <w:sz w:val="24"/>
        </w:rPr>
        <w:t>，</w:t>
      </w:r>
      <w:r>
        <w:rPr>
          <w:sz w:val="24"/>
        </w:rPr>
        <w:t>否则</w:t>
      </w:r>
      <w:r>
        <w:rPr>
          <w:b/>
          <w:sz w:val="24"/>
        </w:rPr>
        <w:t>响应无效</w:t>
      </w:r>
      <w:r>
        <w:rPr>
          <w:sz w:val="24"/>
        </w:rPr>
        <w:t>。成交供应商就采购项目和分包项目向采购人负责，分包供应商就分包项目承担责任。</w:t>
      </w:r>
    </w:p>
    <w:bookmarkEnd w:id="576"/>
    <w:bookmarkEnd w:id="577"/>
    <w:bookmarkEnd w:id="578"/>
    <w:p w14:paraId="24A43E3C">
      <w:pPr>
        <w:numPr>
          <w:ilvl w:val="0"/>
          <w:numId w:val="8"/>
        </w:numPr>
        <w:tabs>
          <w:tab w:val="left" w:pos="360"/>
        </w:tabs>
        <w:spacing w:line="360" w:lineRule="auto"/>
        <w:ind w:left="357" w:hanging="357"/>
        <w:outlineLvl w:val="1"/>
        <w:rPr>
          <w:sz w:val="24"/>
        </w:rPr>
      </w:pPr>
      <w:r>
        <w:rPr>
          <w:sz w:val="24"/>
        </w:rPr>
        <w:t>询问与质疑</w:t>
      </w:r>
    </w:p>
    <w:p w14:paraId="1EE5E22F">
      <w:pPr>
        <w:numPr>
          <w:ilvl w:val="1"/>
          <w:numId w:val="8"/>
        </w:numPr>
        <w:tabs>
          <w:tab w:val="left" w:pos="1080"/>
          <w:tab w:val="left" w:pos="2014"/>
        </w:tabs>
        <w:spacing w:line="360" w:lineRule="auto"/>
        <w:ind w:left="1077" w:hanging="720"/>
        <w:rPr>
          <w:sz w:val="24"/>
        </w:rPr>
      </w:pPr>
      <w:r>
        <w:rPr>
          <w:sz w:val="24"/>
        </w:rPr>
        <w:t>询问</w:t>
      </w:r>
    </w:p>
    <w:p w14:paraId="199106D6">
      <w:pPr>
        <w:numPr>
          <w:ilvl w:val="2"/>
          <w:numId w:val="8"/>
        </w:numPr>
        <w:spacing w:line="360" w:lineRule="auto"/>
        <w:rPr>
          <w:sz w:val="24"/>
        </w:rPr>
      </w:pPr>
      <w:r>
        <w:rPr>
          <w:sz w:val="24"/>
        </w:rPr>
        <w:t>供应商对政府采购活动事项有疑问的，可依法提出询问，并按《供应商须知资料表》载明的形式送达采购人或采购代理机构。</w:t>
      </w:r>
    </w:p>
    <w:p w14:paraId="36E70A6C">
      <w:pPr>
        <w:numPr>
          <w:ilvl w:val="2"/>
          <w:numId w:val="8"/>
        </w:numPr>
        <w:spacing w:line="360" w:lineRule="auto"/>
        <w:rPr>
          <w:sz w:val="24"/>
        </w:rPr>
      </w:pPr>
      <w:r>
        <w:rPr>
          <w:sz w:val="24"/>
        </w:rPr>
        <w:t>采购人或采购代理机构对供应商依法提出的询问，在3个工作日内作出答复，但答复的内容不得涉及商业秘密。</w:t>
      </w:r>
    </w:p>
    <w:p w14:paraId="6D2D8C81">
      <w:pPr>
        <w:numPr>
          <w:ilvl w:val="1"/>
          <w:numId w:val="8"/>
        </w:numPr>
        <w:tabs>
          <w:tab w:val="left" w:pos="1080"/>
          <w:tab w:val="left" w:pos="2014"/>
        </w:tabs>
        <w:spacing w:line="360" w:lineRule="auto"/>
        <w:ind w:left="1077" w:hanging="720"/>
        <w:rPr>
          <w:sz w:val="24"/>
        </w:rPr>
      </w:pPr>
      <w:r>
        <w:rPr>
          <w:sz w:val="24"/>
        </w:rPr>
        <w:t>质疑</w:t>
      </w:r>
    </w:p>
    <w:p w14:paraId="69AD2932">
      <w:pPr>
        <w:numPr>
          <w:ilvl w:val="2"/>
          <w:numId w:val="8"/>
        </w:numPr>
        <w:spacing w:line="360" w:lineRule="auto"/>
        <w:rPr>
          <w:sz w:val="24"/>
        </w:rPr>
      </w:pPr>
      <w:r>
        <w:rPr>
          <w:sz w:val="24"/>
        </w:rPr>
        <w:t>供应商认为单一来源采购文件、采购过程、中标结果使自己的权益受到损害的，可以在知道或者应知其权益受到损害之日起7个工作日内，由供应商派授权代表以书面形式向采购人、采购代理机构提出质疑。采购人、采购代理机构在收到质疑函后7个工作日内作出答复。</w:t>
      </w:r>
    </w:p>
    <w:p w14:paraId="47B36B63">
      <w:pPr>
        <w:numPr>
          <w:ilvl w:val="2"/>
          <w:numId w:val="8"/>
        </w:numPr>
        <w:spacing w:line="360" w:lineRule="auto"/>
        <w:rPr>
          <w:sz w:val="24"/>
        </w:rPr>
      </w:pPr>
      <w:r>
        <w:rPr>
          <w:sz w:val="24"/>
        </w:rPr>
        <w:t>质疑函须使用财政部制定的范本文件。</w:t>
      </w:r>
      <w:r>
        <w:rPr>
          <w:rFonts w:hint="eastAsia"/>
          <w:sz w:val="24"/>
        </w:rPr>
        <w:t>（下载网址：</w:t>
      </w:r>
      <w:r>
        <w:fldChar w:fldCharType="begin"/>
      </w:r>
      <w:r>
        <w:instrText xml:space="preserve"> HYPERLINK "http://gks.mof.gov.cn/ztztz/zhengfucaigouguanli/201802/t20180201_2804589.htm" </w:instrText>
      </w:r>
      <w:r>
        <w:fldChar w:fldCharType="separate"/>
      </w:r>
      <w:r>
        <w:rPr>
          <w:rStyle w:val="261"/>
        </w:rPr>
        <w:t>http://gk</w:t>
      </w:r>
      <w:bookmarkStart w:id="613" w:name="_Hlt100654014"/>
      <w:r>
        <w:rPr>
          <w:rStyle w:val="261"/>
        </w:rPr>
        <w:t>s</w:t>
      </w:r>
      <w:bookmarkEnd w:id="613"/>
      <w:r>
        <w:rPr>
          <w:rStyle w:val="261"/>
        </w:rPr>
        <w:t>.m</w:t>
      </w:r>
      <w:bookmarkStart w:id="614" w:name="_Hlt100653993"/>
      <w:bookmarkStart w:id="615" w:name="_Hlt100653994"/>
      <w:r>
        <w:rPr>
          <w:rStyle w:val="261"/>
        </w:rPr>
        <w:t>o</w:t>
      </w:r>
      <w:bookmarkEnd w:id="614"/>
      <w:bookmarkEnd w:id="615"/>
      <w:r>
        <w:rPr>
          <w:rStyle w:val="261"/>
        </w:rPr>
        <w:t>f.gov.cn/ztztz/zhengfucaigouguanli/201802/t20180201_2804589.htm</w:t>
      </w:r>
      <w:r>
        <w:fldChar w:fldCharType="end"/>
      </w:r>
      <w:r>
        <w:rPr>
          <w:rFonts w:hint="eastAsia"/>
        </w:rPr>
        <w:t>）</w:t>
      </w:r>
    </w:p>
    <w:p w14:paraId="37F33F5C">
      <w:pPr>
        <w:numPr>
          <w:ilvl w:val="2"/>
          <w:numId w:val="8"/>
        </w:numPr>
        <w:spacing w:line="360" w:lineRule="auto"/>
        <w:rPr>
          <w:sz w:val="24"/>
        </w:rPr>
      </w:pPr>
      <w:r>
        <w:rPr>
          <w:sz w:val="24"/>
        </w:rPr>
        <w:t>供应商为自然人的，应当由本人签字；供应商为法人或者其他组织的，应当由法定代表人、主要负责人，或者其授权代表签字或者盖章，并加盖公章。</w:t>
      </w:r>
    </w:p>
    <w:p w14:paraId="45DEC76C">
      <w:pPr>
        <w:numPr>
          <w:ilvl w:val="2"/>
          <w:numId w:val="8"/>
        </w:numPr>
        <w:spacing w:line="360" w:lineRule="auto"/>
        <w:rPr>
          <w:sz w:val="24"/>
        </w:rPr>
      </w:pPr>
      <w:r>
        <w:rPr>
          <w:sz w:val="24"/>
        </w:rPr>
        <w:t>供应商应在法定质疑期内一次性提出针对同一采购程序环节的质疑，法定质疑期内针对同一采购程序环节再次提出的质疑，采购人、采购代理机构有权不予答复。</w:t>
      </w:r>
    </w:p>
    <w:p w14:paraId="31DEBF96">
      <w:pPr>
        <w:numPr>
          <w:ilvl w:val="1"/>
          <w:numId w:val="8"/>
        </w:numPr>
        <w:tabs>
          <w:tab w:val="left" w:pos="1080"/>
          <w:tab w:val="left" w:pos="2014"/>
        </w:tabs>
        <w:spacing w:line="360" w:lineRule="auto"/>
        <w:ind w:left="1077" w:hanging="720"/>
        <w:rPr>
          <w:sz w:val="24"/>
        </w:rPr>
      </w:pPr>
      <w:r>
        <w:rPr>
          <w:sz w:val="24"/>
        </w:rPr>
        <w:t>接收询问和质疑的联系部门、联系电话和通讯地址见《供应商须知资料表》。</w:t>
      </w:r>
    </w:p>
    <w:p w14:paraId="16AF8B60">
      <w:pPr>
        <w:numPr>
          <w:ilvl w:val="0"/>
          <w:numId w:val="8"/>
        </w:numPr>
        <w:tabs>
          <w:tab w:val="left" w:pos="360"/>
        </w:tabs>
        <w:spacing w:line="360" w:lineRule="auto"/>
        <w:ind w:left="357" w:hanging="357"/>
        <w:outlineLvl w:val="1"/>
        <w:rPr>
          <w:sz w:val="24"/>
        </w:rPr>
      </w:pPr>
      <w:r>
        <w:rPr>
          <w:sz w:val="24"/>
        </w:rPr>
        <w:t>代理费</w:t>
      </w:r>
    </w:p>
    <w:p w14:paraId="2B9E756A">
      <w:pPr>
        <w:numPr>
          <w:ilvl w:val="1"/>
          <w:numId w:val="8"/>
        </w:numPr>
        <w:tabs>
          <w:tab w:val="left" w:pos="1080"/>
          <w:tab w:val="left" w:pos="2014"/>
        </w:tabs>
        <w:spacing w:line="360" w:lineRule="auto"/>
        <w:ind w:left="1077" w:hanging="720"/>
        <w:rPr>
          <w:sz w:val="24"/>
        </w:rPr>
      </w:pPr>
      <w:r>
        <w:rPr>
          <w:sz w:val="24"/>
        </w:rPr>
        <w:t>收费对象、收费标准及缴纳时间见《供应商须知资料表》。由成交供应商支付的，成交供应商须一次性向采购代理机构缴纳代理费，供应商的报价应包含代理费用。</w:t>
      </w:r>
    </w:p>
    <w:p w14:paraId="065089F8">
      <w:pPr>
        <w:tabs>
          <w:tab w:val="left" w:pos="360"/>
          <w:tab w:val="left" w:pos="1080"/>
        </w:tabs>
        <w:spacing w:line="360" w:lineRule="auto"/>
        <w:ind w:left="360"/>
        <w:rPr>
          <w:sz w:val="24"/>
        </w:rPr>
      </w:pPr>
    </w:p>
    <w:p w14:paraId="5BAA51F5">
      <w:pPr>
        <w:spacing w:line="360" w:lineRule="auto"/>
        <w:jc w:val="center"/>
        <w:outlineLvl w:val="0"/>
        <w:rPr>
          <w:sz w:val="24"/>
        </w:rPr>
      </w:pPr>
      <w:bookmarkStart w:id="616" w:name="_Toc150480792"/>
      <w:bookmarkStart w:id="617" w:name="_Toc150774759"/>
      <w:bookmarkStart w:id="618" w:name="_Toc226337250"/>
      <w:bookmarkStart w:id="619" w:name="_Toc226965827"/>
      <w:bookmarkStart w:id="620" w:name="_Toc305158822"/>
      <w:bookmarkStart w:id="621" w:name="_Toc265228392"/>
      <w:bookmarkStart w:id="622" w:name="_Toc353873934"/>
      <w:bookmarkStart w:id="623" w:name="_Toc142311056"/>
      <w:bookmarkStart w:id="624" w:name="_Toc305158896"/>
      <w:bookmarkStart w:id="625" w:name="_Toc353873664"/>
      <w:bookmarkStart w:id="626" w:name="_Toc127151554"/>
      <w:bookmarkStart w:id="627" w:name="_Toc264969244"/>
      <w:bookmarkStart w:id="628" w:name="_Toc353825544"/>
      <w:r>
        <w:rPr>
          <w:sz w:val="24"/>
        </w:rPr>
        <w:br w:type="page" w:clear="all"/>
      </w:r>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16"/>
      <w:bookmarkEnd w:id="617"/>
      <w:bookmarkEnd w:id="618"/>
      <w:bookmarkEnd w:id="619"/>
      <w:bookmarkEnd w:id="620"/>
      <w:bookmarkEnd w:id="621"/>
      <w:bookmarkEnd w:id="622"/>
      <w:bookmarkEnd w:id="623"/>
      <w:bookmarkEnd w:id="624"/>
      <w:bookmarkEnd w:id="625"/>
      <w:bookmarkEnd w:id="626"/>
      <w:bookmarkEnd w:id="627"/>
      <w:bookmarkEnd w:id="628"/>
      <w:bookmarkStart w:id="629" w:name="_Hlt487900425"/>
      <w:bookmarkEnd w:id="629"/>
      <w:bookmarkStart w:id="630" w:name="_Hlt522424701"/>
      <w:bookmarkEnd w:id="630"/>
      <w:bookmarkStart w:id="631" w:name="_Hlt487972895"/>
      <w:bookmarkEnd w:id="631"/>
      <w:bookmarkStart w:id="632" w:name="_Toc353873940"/>
      <w:bookmarkStart w:id="633" w:name="_Toc226965858"/>
      <w:bookmarkStart w:id="634" w:name="_Toc353825550"/>
      <w:bookmarkStart w:id="635" w:name="_Toc127151779"/>
      <w:bookmarkStart w:id="636" w:name="_Toc127161490"/>
    </w:p>
    <w:p w14:paraId="2CACDEEB">
      <w:pPr>
        <w:spacing w:line="360" w:lineRule="auto"/>
        <w:jc w:val="center"/>
        <w:outlineLvl w:val="0"/>
        <w:rPr>
          <w:b/>
          <w:sz w:val="36"/>
          <w:szCs w:val="36"/>
        </w:rPr>
      </w:pPr>
      <w:bookmarkStart w:id="637" w:name="_Toc99301281"/>
      <w:r>
        <w:rPr>
          <w:b/>
          <w:sz w:val="36"/>
          <w:szCs w:val="36"/>
        </w:rPr>
        <w:t xml:space="preserve">第三章   </w:t>
      </w:r>
      <w:bookmarkEnd w:id="632"/>
      <w:bookmarkEnd w:id="633"/>
      <w:bookmarkEnd w:id="634"/>
      <w:bookmarkEnd w:id="635"/>
      <w:bookmarkEnd w:id="636"/>
      <w:bookmarkStart w:id="638" w:name="_Hlt164229061"/>
      <w:bookmarkEnd w:id="638"/>
      <w:r>
        <w:rPr>
          <w:b/>
          <w:sz w:val="36"/>
          <w:szCs w:val="36"/>
        </w:rPr>
        <w:t>协商程序</w:t>
      </w:r>
      <w:bookmarkEnd w:id="637"/>
      <w:r>
        <w:rPr>
          <w:b/>
          <w:sz w:val="36"/>
          <w:szCs w:val="36"/>
        </w:rPr>
        <w:t xml:space="preserve"> </w:t>
      </w:r>
    </w:p>
    <w:p w14:paraId="14D397E9">
      <w:pPr>
        <w:tabs>
          <w:tab w:val="left" w:pos="1080"/>
        </w:tabs>
        <w:rPr>
          <w:sz w:val="24"/>
        </w:rPr>
      </w:pPr>
    </w:p>
    <w:p w14:paraId="4CC0AB2A">
      <w:pPr>
        <w:numPr>
          <w:ilvl w:val="0"/>
          <w:numId w:val="12"/>
        </w:numPr>
        <w:tabs>
          <w:tab w:val="left" w:pos="360"/>
        </w:tabs>
        <w:spacing w:line="360" w:lineRule="auto"/>
        <w:outlineLvl w:val="1"/>
        <w:rPr>
          <w:sz w:val="24"/>
        </w:rPr>
      </w:pPr>
      <w:r>
        <w:rPr>
          <w:sz w:val="24"/>
        </w:rPr>
        <w:t>响应文件的资格审查和符合性审查</w:t>
      </w:r>
    </w:p>
    <w:p w14:paraId="1DB01E87">
      <w:pPr>
        <w:numPr>
          <w:ilvl w:val="1"/>
          <w:numId w:val="12"/>
        </w:numPr>
        <w:tabs>
          <w:tab w:val="left" w:pos="1080"/>
          <w:tab w:val="left" w:pos="1589"/>
        </w:tabs>
        <w:spacing w:line="360" w:lineRule="auto"/>
        <w:ind w:left="1077" w:hanging="720"/>
        <w:rPr>
          <w:sz w:val="24"/>
        </w:rPr>
      </w:pPr>
      <w:r>
        <w:rPr>
          <w:sz w:val="24"/>
        </w:rPr>
        <w:t>单一来源采购人员将根据《资格审查要求》和《符合性审查要求》中规定的审查因素和审查内容，对供应商进行审查，并形成审查记录。</w:t>
      </w:r>
    </w:p>
    <w:p w14:paraId="17AFA333">
      <w:pPr>
        <w:numPr>
          <w:ilvl w:val="1"/>
          <w:numId w:val="12"/>
        </w:numPr>
        <w:tabs>
          <w:tab w:val="left" w:pos="1080"/>
          <w:tab w:val="left" w:pos="1589"/>
        </w:tabs>
        <w:spacing w:line="360" w:lineRule="auto"/>
        <w:ind w:left="1077" w:hanging="720"/>
        <w:rPr>
          <w:sz w:val="24"/>
        </w:rPr>
      </w:pPr>
      <w:r>
        <w:rPr>
          <w:sz w:val="24"/>
        </w:rPr>
        <w:t>《资格审查要求》和《符合性审查要求》中对格式有要求的，除单一来源采购文件另有规定外，均为“实质性格式”文件。未实质性响应</w:t>
      </w:r>
      <w:r>
        <w:rPr>
          <w:rFonts w:hint="eastAsia"/>
          <w:sz w:val="24"/>
        </w:rPr>
        <w:t>单一来源采购</w:t>
      </w:r>
      <w:r>
        <w:rPr>
          <w:sz w:val="24"/>
        </w:rPr>
        <w:t>文件的响应文件按</w:t>
      </w:r>
      <w:r>
        <w:rPr>
          <w:b/>
          <w:sz w:val="24"/>
        </w:rPr>
        <w:t>无效响应</w:t>
      </w:r>
      <w:r>
        <w:rPr>
          <w:sz w:val="24"/>
        </w:rPr>
        <w:t>处理，</w:t>
      </w:r>
      <w:r>
        <w:rPr>
          <w:rFonts w:hint="eastAsia"/>
          <w:sz w:val="24"/>
        </w:rPr>
        <w:t>协商</w:t>
      </w:r>
      <w:r>
        <w:rPr>
          <w:sz w:val="24"/>
        </w:rPr>
        <w:t>小组应当告知提交响应文件的供应商。</w:t>
      </w:r>
    </w:p>
    <w:p w14:paraId="06FE6021">
      <w:pPr>
        <w:numPr>
          <w:ilvl w:val="1"/>
          <w:numId w:val="12"/>
        </w:numPr>
        <w:tabs>
          <w:tab w:val="left" w:pos="1080"/>
          <w:tab w:val="left" w:pos="1589"/>
        </w:tabs>
        <w:spacing w:line="360" w:lineRule="auto"/>
        <w:ind w:left="1077" w:hanging="720"/>
        <w:rPr>
          <w:sz w:val="24"/>
        </w:rPr>
      </w:pPr>
      <w:r>
        <w:rPr>
          <w:sz w:val="24"/>
        </w:rPr>
        <w:t>《资格审查要求》见下表：</w:t>
      </w:r>
    </w:p>
    <w:p w14:paraId="75BD84FD">
      <w:pPr>
        <w:tabs>
          <w:tab w:val="left" w:pos="900"/>
          <w:tab w:val="left" w:pos="1080"/>
          <w:tab w:val="left" w:pos="1447"/>
        </w:tabs>
        <w:spacing w:line="360" w:lineRule="auto"/>
        <w:jc w:val="center"/>
        <w:rPr>
          <w:b/>
          <w:sz w:val="24"/>
        </w:rPr>
      </w:pPr>
      <w:r>
        <w:rPr>
          <w:b/>
          <w:sz w:val="24"/>
        </w:rPr>
        <w:t>资格审查要求</w:t>
      </w:r>
    </w:p>
    <w:tbl>
      <w:tblPr>
        <w:tblStyle w:val="30"/>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726"/>
        <w:gridCol w:w="1455"/>
        <w:gridCol w:w="4843"/>
        <w:gridCol w:w="1106"/>
        <w:gridCol w:w="1158"/>
      </w:tblGrid>
      <w:tr w14:paraId="4C35265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20" w:hRule="atLeast"/>
          <w:tblHeader/>
        </w:trPr>
        <w:tc>
          <w:tcPr>
            <w:tcW w:w="453" w:type="dxa"/>
            <w:noWrap w:val="0"/>
            <w:vAlign w:val="center"/>
          </w:tcPr>
          <w:p w14:paraId="6E285892">
            <w:pPr>
              <w:tabs>
                <w:tab w:val="left" w:pos="1080"/>
              </w:tabs>
              <w:jc w:val="center"/>
              <w:rPr>
                <w:b/>
                <w:sz w:val="24"/>
              </w:rPr>
            </w:pPr>
            <w:r>
              <w:rPr>
                <w:b/>
                <w:sz w:val="24"/>
              </w:rPr>
              <w:t>序号</w:t>
            </w:r>
          </w:p>
        </w:tc>
        <w:tc>
          <w:tcPr>
            <w:tcW w:w="916" w:type="dxa"/>
            <w:noWrap w:val="0"/>
            <w:vAlign w:val="center"/>
          </w:tcPr>
          <w:p w14:paraId="43899E98">
            <w:pPr>
              <w:tabs>
                <w:tab w:val="left" w:pos="1080"/>
              </w:tabs>
              <w:jc w:val="center"/>
              <w:rPr>
                <w:b/>
                <w:bCs/>
                <w:sz w:val="24"/>
              </w:rPr>
            </w:pPr>
            <w:r>
              <w:rPr>
                <w:b/>
                <w:bCs/>
                <w:sz w:val="24"/>
              </w:rPr>
              <w:t>审查因素</w:t>
            </w:r>
          </w:p>
        </w:tc>
        <w:tc>
          <w:tcPr>
            <w:tcW w:w="2214" w:type="dxa"/>
            <w:noWrap w:val="0"/>
            <w:vAlign w:val="center"/>
          </w:tcPr>
          <w:p w14:paraId="2C87FD5D">
            <w:pPr>
              <w:tabs>
                <w:tab w:val="left" w:pos="1080"/>
              </w:tabs>
              <w:jc w:val="center"/>
              <w:rPr>
                <w:b/>
                <w:sz w:val="24"/>
              </w:rPr>
            </w:pPr>
            <w:r>
              <w:rPr>
                <w:b/>
                <w:sz w:val="24"/>
              </w:rPr>
              <w:t>审查内容</w:t>
            </w:r>
          </w:p>
        </w:tc>
        <w:tc>
          <w:tcPr>
            <w:tcW w:w="685" w:type="dxa"/>
            <w:noWrap w:val="0"/>
            <w:vAlign w:val="center"/>
          </w:tcPr>
          <w:p w14:paraId="21D836D9">
            <w:pPr>
              <w:tabs>
                <w:tab w:val="left" w:pos="1080"/>
              </w:tabs>
              <w:jc w:val="center"/>
              <w:rPr>
                <w:b/>
                <w:sz w:val="24"/>
              </w:rPr>
            </w:pPr>
            <w:r>
              <w:rPr>
                <w:b/>
                <w:sz w:val="24"/>
              </w:rPr>
              <w:t>格式要求</w:t>
            </w:r>
          </w:p>
        </w:tc>
        <w:tc>
          <w:tcPr>
            <w:tcW w:w="729" w:type="dxa"/>
            <w:noWrap w:val="0"/>
            <w:vAlign w:val="center"/>
          </w:tcPr>
          <w:p w14:paraId="5E3BDAD0">
            <w:pPr>
              <w:tabs>
                <w:tab w:val="left" w:pos="1080"/>
              </w:tabs>
              <w:jc w:val="center"/>
              <w:rPr>
                <w:b/>
                <w:sz w:val="24"/>
              </w:rPr>
            </w:pPr>
            <w:r>
              <w:rPr>
                <w:b/>
                <w:sz w:val="24"/>
              </w:rPr>
              <w:t>是否允许澄清、说明或者更正</w:t>
            </w:r>
          </w:p>
        </w:tc>
      </w:tr>
      <w:tr w14:paraId="35D4130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20" w:hRule="atLeast"/>
        </w:trPr>
        <w:tc>
          <w:tcPr>
            <w:tcW w:w="453" w:type="dxa"/>
            <w:noWrap w:val="0"/>
            <w:vAlign w:val="center"/>
          </w:tcPr>
          <w:p w14:paraId="51CC4CA9">
            <w:pPr>
              <w:tabs>
                <w:tab w:val="left" w:pos="1080"/>
              </w:tabs>
              <w:rPr>
                <w:sz w:val="24"/>
              </w:rPr>
            </w:pPr>
            <w:r>
              <w:rPr>
                <w:sz w:val="24"/>
              </w:rPr>
              <w:t>1</w:t>
            </w:r>
          </w:p>
        </w:tc>
        <w:tc>
          <w:tcPr>
            <w:tcW w:w="916" w:type="dxa"/>
            <w:noWrap w:val="0"/>
            <w:vAlign w:val="center"/>
          </w:tcPr>
          <w:p w14:paraId="55FB6DCC">
            <w:pPr>
              <w:tabs>
                <w:tab w:val="left" w:pos="1080"/>
              </w:tabs>
              <w:rPr>
                <w:sz w:val="24"/>
              </w:rPr>
            </w:pPr>
            <w:r>
              <w:rPr>
                <w:sz w:val="24"/>
              </w:rPr>
              <w:t>满足《中华人民共和国政府采购法》第二十二条规定及法律法规的其他规定</w:t>
            </w:r>
          </w:p>
        </w:tc>
        <w:tc>
          <w:tcPr>
            <w:tcW w:w="2214" w:type="dxa"/>
            <w:noWrap w:val="0"/>
            <w:vAlign w:val="center"/>
          </w:tcPr>
          <w:p w14:paraId="0E9E84FA">
            <w:pPr>
              <w:tabs>
                <w:tab w:val="left" w:pos="1080"/>
              </w:tabs>
              <w:rPr>
                <w:sz w:val="24"/>
              </w:rPr>
            </w:pPr>
            <w:r>
              <w:rPr>
                <w:sz w:val="24"/>
              </w:rPr>
              <w:t>具体规定见第一章《采购邀请》</w:t>
            </w:r>
          </w:p>
        </w:tc>
        <w:tc>
          <w:tcPr>
            <w:tcW w:w="685" w:type="dxa"/>
            <w:noWrap w:val="0"/>
            <w:vAlign w:val="center"/>
          </w:tcPr>
          <w:p w14:paraId="4800386C">
            <w:pPr>
              <w:tabs>
                <w:tab w:val="left" w:pos="1080"/>
              </w:tabs>
              <w:rPr>
                <w:sz w:val="24"/>
              </w:rPr>
            </w:pPr>
          </w:p>
        </w:tc>
        <w:tc>
          <w:tcPr>
            <w:tcW w:w="729" w:type="dxa"/>
            <w:noWrap w:val="0"/>
            <w:vAlign w:val="center"/>
          </w:tcPr>
          <w:p w14:paraId="6697F022">
            <w:pPr>
              <w:tabs>
                <w:tab w:val="left" w:pos="1080"/>
              </w:tabs>
              <w:rPr>
                <w:sz w:val="24"/>
              </w:rPr>
            </w:pPr>
          </w:p>
        </w:tc>
      </w:tr>
      <w:tr w14:paraId="1C8290E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20" w:hRule="atLeast"/>
        </w:trPr>
        <w:tc>
          <w:tcPr>
            <w:tcW w:w="453" w:type="dxa"/>
            <w:noWrap w:val="0"/>
            <w:vAlign w:val="center"/>
          </w:tcPr>
          <w:p w14:paraId="5F36103F">
            <w:pPr>
              <w:tabs>
                <w:tab w:val="left" w:pos="1080"/>
              </w:tabs>
              <w:jc w:val="center"/>
              <w:rPr>
                <w:sz w:val="24"/>
              </w:rPr>
            </w:pPr>
            <w:r>
              <w:rPr>
                <w:sz w:val="24"/>
              </w:rPr>
              <w:t>1</w:t>
            </w:r>
            <w:r>
              <w:rPr>
                <w:rFonts w:hint="eastAsia"/>
                <w:sz w:val="24"/>
              </w:rPr>
              <w:t>-1</w:t>
            </w:r>
          </w:p>
        </w:tc>
        <w:tc>
          <w:tcPr>
            <w:tcW w:w="916" w:type="dxa"/>
            <w:noWrap w:val="0"/>
            <w:vAlign w:val="center"/>
          </w:tcPr>
          <w:p w14:paraId="714D6167">
            <w:pPr>
              <w:tabs>
                <w:tab w:val="left" w:pos="1080"/>
              </w:tabs>
              <w:rPr>
                <w:sz w:val="24"/>
              </w:rPr>
            </w:pPr>
            <w:r>
              <w:rPr>
                <w:rFonts w:hint="eastAsia"/>
                <w:sz w:val="24"/>
              </w:rPr>
              <w:t>投标人资格声明函</w:t>
            </w:r>
          </w:p>
        </w:tc>
        <w:tc>
          <w:tcPr>
            <w:tcW w:w="2214" w:type="dxa"/>
            <w:noWrap w:val="0"/>
            <w:vAlign w:val="center"/>
          </w:tcPr>
          <w:p w14:paraId="7C9C6238">
            <w:pPr>
              <w:tabs>
                <w:tab w:val="left" w:pos="1080"/>
              </w:tabs>
              <w:rPr>
                <w:sz w:val="24"/>
              </w:rPr>
            </w:pPr>
            <w:r>
              <w:rPr>
                <w:sz w:val="24"/>
              </w:rPr>
              <w:t>提供了符合招标文件要求的《</w:t>
            </w:r>
            <w:r>
              <w:rPr>
                <w:rFonts w:hint="eastAsia"/>
                <w:sz w:val="24"/>
              </w:rPr>
              <w:t>投标人资格声明函</w:t>
            </w:r>
            <w:r>
              <w:rPr>
                <w:sz w:val="24"/>
              </w:rPr>
              <w:t>》。</w:t>
            </w:r>
          </w:p>
        </w:tc>
        <w:tc>
          <w:tcPr>
            <w:tcW w:w="685" w:type="dxa"/>
            <w:noWrap w:val="0"/>
            <w:vAlign w:val="center"/>
          </w:tcPr>
          <w:p w14:paraId="0E59F103">
            <w:pPr>
              <w:tabs>
                <w:tab w:val="left" w:pos="1080"/>
              </w:tabs>
              <w:rPr>
                <w:sz w:val="24"/>
              </w:rPr>
            </w:pPr>
            <w:r>
              <w:rPr>
                <w:sz w:val="24"/>
              </w:rPr>
              <w:t>格式见《投标文件格式》</w:t>
            </w:r>
          </w:p>
        </w:tc>
        <w:tc>
          <w:tcPr>
            <w:tcW w:w="729" w:type="dxa"/>
            <w:noWrap w:val="0"/>
            <w:vAlign w:val="center"/>
          </w:tcPr>
          <w:p w14:paraId="7ABA023F">
            <w:pPr>
              <w:tabs>
                <w:tab w:val="left" w:pos="1080"/>
              </w:tabs>
              <w:rPr>
                <w:sz w:val="24"/>
              </w:rPr>
            </w:pPr>
            <w:r>
              <w:rPr>
                <w:sz w:val="24"/>
              </w:rPr>
              <w:t>允许</w:t>
            </w:r>
          </w:p>
        </w:tc>
      </w:tr>
      <w:tr w14:paraId="2203FAB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20" w:hRule="atLeast"/>
        </w:trPr>
        <w:tc>
          <w:tcPr>
            <w:tcW w:w="453" w:type="dxa"/>
            <w:noWrap w:val="0"/>
            <w:vAlign w:val="center"/>
          </w:tcPr>
          <w:p w14:paraId="2BF832E1">
            <w:pPr>
              <w:tabs>
                <w:tab w:val="left" w:pos="1080"/>
              </w:tabs>
              <w:rPr>
                <w:sz w:val="24"/>
              </w:rPr>
            </w:pPr>
            <w:r>
              <w:rPr>
                <w:sz w:val="24"/>
              </w:rPr>
              <w:t>1-</w:t>
            </w:r>
            <w:r>
              <w:rPr>
                <w:rFonts w:hint="eastAsia"/>
                <w:sz w:val="24"/>
              </w:rPr>
              <w:t>2</w:t>
            </w:r>
          </w:p>
        </w:tc>
        <w:tc>
          <w:tcPr>
            <w:tcW w:w="916" w:type="dxa"/>
            <w:noWrap w:val="0"/>
            <w:vAlign w:val="center"/>
          </w:tcPr>
          <w:p w14:paraId="22B6B352">
            <w:pPr>
              <w:tabs>
                <w:tab w:val="left" w:pos="1080"/>
              </w:tabs>
              <w:rPr>
                <w:sz w:val="24"/>
              </w:rPr>
            </w:pPr>
            <w:r>
              <w:rPr>
                <w:sz w:val="24"/>
              </w:rPr>
              <w:t>供应商信用记录</w:t>
            </w:r>
          </w:p>
        </w:tc>
        <w:tc>
          <w:tcPr>
            <w:tcW w:w="2214" w:type="dxa"/>
            <w:noWrap w:val="0"/>
            <w:vAlign w:val="center"/>
          </w:tcPr>
          <w:p w14:paraId="3BA432BA">
            <w:pPr>
              <w:tabs>
                <w:tab w:val="left" w:pos="900"/>
                <w:tab w:val="left" w:pos="1980"/>
              </w:tabs>
              <w:rPr>
                <w:sz w:val="24"/>
              </w:rPr>
            </w:pPr>
            <w:r>
              <w:rPr>
                <w:sz w:val="24"/>
              </w:rPr>
              <w:t>查询渠道：信用中国网站和中国政府采购网（www.creditchina.gov.cn、www.ccgp.gov.cn）；</w:t>
            </w:r>
          </w:p>
          <w:p w14:paraId="4EB59152">
            <w:pPr>
              <w:tabs>
                <w:tab w:val="left" w:pos="900"/>
                <w:tab w:val="left" w:pos="1980"/>
              </w:tabs>
              <w:rPr>
                <w:sz w:val="24"/>
              </w:rPr>
            </w:pPr>
            <w:r>
              <w:rPr>
                <w:sz w:val="24"/>
              </w:rPr>
              <w:t>截止时点：提交响应文件截止时间以后、资格审查阶段采购人或采购代理机构的实际查询时间；</w:t>
            </w:r>
          </w:p>
          <w:p w14:paraId="572F6DCF">
            <w:pPr>
              <w:tabs>
                <w:tab w:val="left" w:pos="900"/>
                <w:tab w:val="left" w:pos="1980"/>
              </w:tabs>
              <w:rPr>
                <w:sz w:val="24"/>
              </w:rPr>
            </w:pPr>
            <w:r>
              <w:rPr>
                <w:sz w:val="24"/>
              </w:rPr>
              <w:t>信用信息查询记录和证据留存具体方式：查询结果网页打印页作为查询记录和证据，与其他单一来源采购文件一并保存；</w:t>
            </w:r>
          </w:p>
          <w:p w14:paraId="516FA1B7">
            <w:pPr>
              <w:tabs>
                <w:tab w:val="left" w:pos="1080"/>
              </w:tabs>
              <w:rPr>
                <w:sz w:val="24"/>
              </w:rPr>
            </w:pPr>
            <w:r>
              <w:rPr>
                <w:sz w:val="24"/>
              </w:rPr>
              <w:t>信用信息的使用原则：经认定的被列入失信被执行人、重大税收违法案件当事人名单、政府采购严重违法失信行为记录名单的供应商，其</w:t>
            </w:r>
            <w:r>
              <w:rPr>
                <w:b/>
                <w:sz w:val="24"/>
              </w:rPr>
              <w:t>响应无效</w:t>
            </w:r>
            <w:r>
              <w:rPr>
                <w:sz w:val="24"/>
              </w:rPr>
              <w:t>。联合体形式响应的，联合体成员存在不良信用记录，视同联合体存在不良信用记录。</w:t>
            </w:r>
          </w:p>
        </w:tc>
        <w:tc>
          <w:tcPr>
            <w:tcW w:w="685" w:type="dxa"/>
            <w:noWrap w:val="0"/>
            <w:vAlign w:val="center"/>
          </w:tcPr>
          <w:p w14:paraId="27F85EE7">
            <w:pPr>
              <w:tabs>
                <w:tab w:val="left" w:pos="1080"/>
              </w:tabs>
              <w:rPr>
                <w:sz w:val="24"/>
              </w:rPr>
            </w:pPr>
            <w:r>
              <w:rPr>
                <w:sz w:val="24"/>
              </w:rPr>
              <w:t>无须供应商提供，由采购人查询。</w:t>
            </w:r>
          </w:p>
        </w:tc>
        <w:tc>
          <w:tcPr>
            <w:tcW w:w="729" w:type="dxa"/>
            <w:noWrap w:val="0"/>
            <w:vAlign w:val="center"/>
          </w:tcPr>
          <w:p w14:paraId="1FDF5951">
            <w:pPr>
              <w:tabs>
                <w:tab w:val="left" w:pos="1080"/>
              </w:tabs>
              <w:rPr>
                <w:sz w:val="24"/>
              </w:rPr>
            </w:pPr>
            <w:r>
              <w:rPr>
                <w:sz w:val="24"/>
              </w:rPr>
              <w:t>不允许</w:t>
            </w:r>
          </w:p>
        </w:tc>
      </w:tr>
      <w:tr w14:paraId="52623A6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20" w:hRule="atLeast"/>
        </w:trPr>
        <w:tc>
          <w:tcPr>
            <w:tcW w:w="453" w:type="dxa"/>
            <w:noWrap w:val="0"/>
            <w:vAlign w:val="center"/>
          </w:tcPr>
          <w:p w14:paraId="0DCA97C7">
            <w:pPr>
              <w:tabs>
                <w:tab w:val="left" w:pos="1080"/>
              </w:tabs>
              <w:rPr>
                <w:sz w:val="24"/>
              </w:rPr>
            </w:pPr>
            <w:r>
              <w:rPr>
                <w:sz w:val="24"/>
              </w:rPr>
              <w:t>2</w:t>
            </w:r>
          </w:p>
        </w:tc>
        <w:tc>
          <w:tcPr>
            <w:tcW w:w="916" w:type="dxa"/>
            <w:noWrap w:val="0"/>
            <w:vAlign w:val="center"/>
          </w:tcPr>
          <w:p w14:paraId="1C07BBE8">
            <w:pPr>
              <w:tabs>
                <w:tab w:val="left" w:pos="1080"/>
              </w:tabs>
              <w:rPr>
                <w:sz w:val="24"/>
              </w:rPr>
            </w:pPr>
            <w:r>
              <w:rPr>
                <w:sz w:val="24"/>
              </w:rPr>
              <w:t>落实政府采购政策需满足的资格要求</w:t>
            </w:r>
          </w:p>
        </w:tc>
        <w:tc>
          <w:tcPr>
            <w:tcW w:w="2214" w:type="dxa"/>
            <w:noWrap w:val="0"/>
            <w:vAlign w:val="center"/>
          </w:tcPr>
          <w:p w14:paraId="0C77E3E7">
            <w:pPr>
              <w:tabs>
                <w:tab w:val="left" w:pos="1080"/>
              </w:tabs>
              <w:rPr>
                <w:sz w:val="24"/>
              </w:rPr>
            </w:pPr>
            <w:r>
              <w:rPr>
                <w:sz w:val="24"/>
              </w:rPr>
              <w:t>具体要求见第一章《采购邀请》</w:t>
            </w:r>
          </w:p>
        </w:tc>
        <w:tc>
          <w:tcPr>
            <w:tcW w:w="685" w:type="dxa"/>
            <w:noWrap w:val="0"/>
            <w:vAlign w:val="center"/>
          </w:tcPr>
          <w:p w14:paraId="37ED1BDE">
            <w:pPr>
              <w:tabs>
                <w:tab w:val="left" w:pos="1080"/>
              </w:tabs>
              <w:rPr>
                <w:sz w:val="24"/>
              </w:rPr>
            </w:pPr>
          </w:p>
        </w:tc>
        <w:tc>
          <w:tcPr>
            <w:tcW w:w="729" w:type="dxa"/>
            <w:noWrap w:val="0"/>
            <w:vAlign w:val="center"/>
          </w:tcPr>
          <w:p w14:paraId="7985787C">
            <w:pPr>
              <w:tabs>
                <w:tab w:val="left" w:pos="1080"/>
              </w:tabs>
              <w:rPr>
                <w:sz w:val="24"/>
              </w:rPr>
            </w:pPr>
          </w:p>
        </w:tc>
      </w:tr>
      <w:tr w14:paraId="479986D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20" w:hRule="atLeast"/>
        </w:trPr>
        <w:tc>
          <w:tcPr>
            <w:tcW w:w="453" w:type="dxa"/>
            <w:noWrap w:val="0"/>
            <w:vAlign w:val="center"/>
          </w:tcPr>
          <w:p w14:paraId="439F794C">
            <w:pPr>
              <w:tabs>
                <w:tab w:val="left" w:pos="1080"/>
              </w:tabs>
              <w:rPr>
                <w:sz w:val="24"/>
              </w:rPr>
            </w:pPr>
            <w:r>
              <w:rPr>
                <w:sz w:val="24"/>
              </w:rPr>
              <w:t>2-1</w:t>
            </w:r>
          </w:p>
        </w:tc>
        <w:tc>
          <w:tcPr>
            <w:tcW w:w="916" w:type="dxa"/>
            <w:noWrap w:val="0"/>
            <w:vAlign w:val="center"/>
          </w:tcPr>
          <w:p w14:paraId="5AFB32CF">
            <w:pPr>
              <w:tabs>
                <w:tab w:val="left" w:pos="1080"/>
              </w:tabs>
              <w:rPr>
                <w:sz w:val="24"/>
              </w:rPr>
            </w:pPr>
            <w:r>
              <w:rPr>
                <w:sz w:val="24"/>
              </w:rPr>
              <w:t>中小企业声明函</w:t>
            </w:r>
          </w:p>
        </w:tc>
        <w:tc>
          <w:tcPr>
            <w:tcW w:w="2214" w:type="dxa"/>
            <w:noWrap w:val="0"/>
            <w:vAlign w:val="center"/>
          </w:tcPr>
          <w:p w14:paraId="05FE6E5D">
            <w:pPr>
              <w:tabs>
                <w:tab w:val="left" w:pos="1080"/>
              </w:tabs>
              <w:rPr>
                <w:sz w:val="24"/>
              </w:rPr>
            </w:pPr>
            <w:r>
              <w:rPr>
                <w:sz w:val="24"/>
              </w:rPr>
              <w:t>1、供应商单独响应的，应提供中小企业声明函；如为监狱企业或残疾人福利性单位，不必提供中小企业声明函，但须按注1或注2要求提供证明材料。</w:t>
            </w:r>
          </w:p>
          <w:p w14:paraId="6EDB45BF">
            <w:pPr>
              <w:tabs>
                <w:tab w:val="left" w:pos="1080"/>
              </w:tabs>
              <w:rPr>
                <w:sz w:val="24"/>
              </w:rPr>
            </w:pPr>
            <w:r>
              <w:rPr>
                <w:sz w:val="24"/>
              </w:rPr>
              <w:t>2、如单一来源采购文件要求以联合体形式参加或者要求合同分包的，且供应商为联合体或拟进行合同分包的，则联合体中的中小企业、签订分包意向协议的中小企业具体情况须在《中小企业声明函》中如实填报。上述中小企业如为监狱企业或残疾人福利性单位应在声明函中如实列明单位性质，并按注1或注2要求提供证明材料。</w:t>
            </w:r>
          </w:p>
          <w:p w14:paraId="39DA6398">
            <w:pPr>
              <w:tabs>
                <w:tab w:val="left" w:pos="1080"/>
              </w:tabs>
              <w:rPr>
                <w:sz w:val="24"/>
              </w:rPr>
            </w:pPr>
            <w:r>
              <w:rPr>
                <w:sz w:val="24"/>
              </w:rPr>
              <w:t>注1：监狱企业须提供由省级以上监狱管理局（常州市含教育矫治局）、戒毒管理局（含新疆生产建设兵团）出具的属于监狱企业的证明文件。</w:t>
            </w:r>
          </w:p>
          <w:p w14:paraId="3930F11F">
            <w:pPr>
              <w:tabs>
                <w:tab w:val="left" w:pos="1080"/>
              </w:tabs>
              <w:rPr>
                <w:sz w:val="24"/>
              </w:rPr>
            </w:pPr>
            <w:r>
              <w:rPr>
                <w:sz w:val="24"/>
              </w:rPr>
              <w:t>注2：残疾人福利性单位须按单一来源采购文件要求提供《残疾人福利性单位声明函》。</w:t>
            </w:r>
          </w:p>
        </w:tc>
        <w:tc>
          <w:tcPr>
            <w:tcW w:w="685" w:type="dxa"/>
            <w:noWrap w:val="0"/>
            <w:vAlign w:val="center"/>
          </w:tcPr>
          <w:p w14:paraId="09EB92E4">
            <w:pPr>
              <w:tabs>
                <w:tab w:val="left" w:pos="1080"/>
              </w:tabs>
              <w:rPr>
                <w:sz w:val="24"/>
              </w:rPr>
            </w:pPr>
            <w:r>
              <w:rPr>
                <w:sz w:val="24"/>
              </w:rPr>
              <w:t>格式见《响应文件格式》</w:t>
            </w:r>
          </w:p>
        </w:tc>
        <w:tc>
          <w:tcPr>
            <w:tcW w:w="729" w:type="dxa"/>
            <w:noWrap w:val="0"/>
            <w:vAlign w:val="center"/>
          </w:tcPr>
          <w:p w14:paraId="613296D0">
            <w:pPr>
              <w:tabs>
                <w:tab w:val="left" w:pos="1080"/>
              </w:tabs>
              <w:rPr>
                <w:sz w:val="24"/>
              </w:rPr>
            </w:pPr>
            <w:r>
              <w:rPr>
                <w:sz w:val="24"/>
              </w:rPr>
              <w:t>允许</w:t>
            </w:r>
          </w:p>
        </w:tc>
      </w:tr>
      <w:tr w14:paraId="5010FEF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20" w:hRule="atLeast"/>
        </w:trPr>
        <w:tc>
          <w:tcPr>
            <w:tcW w:w="453" w:type="dxa"/>
            <w:noWrap w:val="0"/>
            <w:vAlign w:val="center"/>
          </w:tcPr>
          <w:p w14:paraId="41ADDA44">
            <w:pPr>
              <w:tabs>
                <w:tab w:val="left" w:pos="1080"/>
              </w:tabs>
              <w:rPr>
                <w:sz w:val="24"/>
              </w:rPr>
            </w:pPr>
            <w:r>
              <w:rPr>
                <w:sz w:val="24"/>
              </w:rPr>
              <w:t>2-2</w:t>
            </w:r>
          </w:p>
        </w:tc>
        <w:tc>
          <w:tcPr>
            <w:tcW w:w="916" w:type="dxa"/>
            <w:noWrap w:val="0"/>
            <w:vAlign w:val="center"/>
          </w:tcPr>
          <w:p w14:paraId="5F9CD4A0">
            <w:pPr>
              <w:tabs>
                <w:tab w:val="left" w:pos="1080"/>
              </w:tabs>
              <w:rPr>
                <w:sz w:val="24"/>
              </w:rPr>
            </w:pPr>
            <w:r>
              <w:rPr>
                <w:sz w:val="24"/>
              </w:rPr>
              <w:t>其它落实政府采购政策的资格要求</w:t>
            </w:r>
          </w:p>
        </w:tc>
        <w:tc>
          <w:tcPr>
            <w:tcW w:w="2214" w:type="dxa"/>
            <w:noWrap w:val="0"/>
            <w:vAlign w:val="center"/>
          </w:tcPr>
          <w:p w14:paraId="7BB86900">
            <w:pPr>
              <w:tabs>
                <w:tab w:val="left" w:pos="1080"/>
              </w:tabs>
              <w:rPr>
                <w:sz w:val="24"/>
              </w:rPr>
            </w:pPr>
            <w:r>
              <w:rPr>
                <w:sz w:val="24"/>
              </w:rPr>
              <w:t>如有，见第一章《采购邀请》</w:t>
            </w:r>
          </w:p>
        </w:tc>
        <w:tc>
          <w:tcPr>
            <w:tcW w:w="685" w:type="dxa"/>
            <w:noWrap w:val="0"/>
            <w:vAlign w:val="center"/>
          </w:tcPr>
          <w:p w14:paraId="0D246604">
            <w:pPr>
              <w:tabs>
                <w:tab w:val="left" w:pos="1080"/>
              </w:tabs>
              <w:rPr>
                <w:sz w:val="24"/>
              </w:rPr>
            </w:pPr>
            <w:r>
              <w:rPr>
                <w:sz w:val="24"/>
              </w:rPr>
              <w:t>提供证明文件的电子件或电子证照</w:t>
            </w:r>
          </w:p>
        </w:tc>
        <w:tc>
          <w:tcPr>
            <w:tcW w:w="729" w:type="dxa"/>
            <w:noWrap w:val="0"/>
            <w:vAlign w:val="center"/>
          </w:tcPr>
          <w:p w14:paraId="084A4674">
            <w:pPr>
              <w:tabs>
                <w:tab w:val="left" w:pos="1080"/>
              </w:tabs>
              <w:rPr>
                <w:sz w:val="24"/>
              </w:rPr>
            </w:pPr>
          </w:p>
        </w:tc>
      </w:tr>
      <w:tr w14:paraId="271FFC0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20" w:hRule="atLeast"/>
        </w:trPr>
        <w:tc>
          <w:tcPr>
            <w:tcW w:w="453" w:type="dxa"/>
            <w:noWrap w:val="0"/>
            <w:vAlign w:val="center"/>
          </w:tcPr>
          <w:p w14:paraId="0A6FD2D8">
            <w:pPr>
              <w:tabs>
                <w:tab w:val="left" w:pos="1080"/>
              </w:tabs>
              <w:rPr>
                <w:sz w:val="24"/>
              </w:rPr>
            </w:pPr>
            <w:r>
              <w:rPr>
                <w:sz w:val="24"/>
              </w:rPr>
              <w:t>3</w:t>
            </w:r>
          </w:p>
        </w:tc>
        <w:tc>
          <w:tcPr>
            <w:tcW w:w="916" w:type="dxa"/>
            <w:noWrap w:val="0"/>
            <w:vAlign w:val="center"/>
          </w:tcPr>
          <w:p w14:paraId="23629309">
            <w:pPr>
              <w:tabs>
                <w:tab w:val="left" w:pos="1080"/>
              </w:tabs>
              <w:rPr>
                <w:sz w:val="24"/>
              </w:rPr>
            </w:pPr>
            <w:r>
              <w:rPr>
                <w:sz w:val="24"/>
              </w:rPr>
              <w:t>本项目的特定资格要求</w:t>
            </w:r>
          </w:p>
        </w:tc>
        <w:tc>
          <w:tcPr>
            <w:tcW w:w="2214" w:type="dxa"/>
            <w:noWrap w:val="0"/>
            <w:vAlign w:val="center"/>
          </w:tcPr>
          <w:p w14:paraId="354173BC">
            <w:pPr>
              <w:tabs>
                <w:tab w:val="left" w:pos="1080"/>
              </w:tabs>
              <w:rPr>
                <w:sz w:val="24"/>
              </w:rPr>
            </w:pPr>
            <w:r>
              <w:rPr>
                <w:sz w:val="24"/>
              </w:rPr>
              <w:t>如有，见第一章《采购邀请》</w:t>
            </w:r>
          </w:p>
        </w:tc>
        <w:tc>
          <w:tcPr>
            <w:tcW w:w="685" w:type="dxa"/>
            <w:noWrap w:val="0"/>
            <w:vAlign w:val="center"/>
          </w:tcPr>
          <w:p w14:paraId="5D8EAEED">
            <w:pPr>
              <w:tabs>
                <w:tab w:val="left" w:pos="1080"/>
              </w:tabs>
              <w:rPr>
                <w:sz w:val="24"/>
              </w:rPr>
            </w:pPr>
          </w:p>
        </w:tc>
        <w:tc>
          <w:tcPr>
            <w:tcW w:w="729" w:type="dxa"/>
            <w:noWrap w:val="0"/>
            <w:vAlign w:val="center"/>
          </w:tcPr>
          <w:p w14:paraId="0D799AE0">
            <w:pPr>
              <w:tabs>
                <w:tab w:val="left" w:pos="1080"/>
              </w:tabs>
              <w:rPr>
                <w:sz w:val="24"/>
              </w:rPr>
            </w:pPr>
            <w:r>
              <w:rPr>
                <w:sz w:val="24"/>
              </w:rPr>
              <w:t>允许</w:t>
            </w:r>
          </w:p>
        </w:tc>
      </w:tr>
      <w:tr w14:paraId="3FDA83A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20" w:hRule="atLeast"/>
        </w:trPr>
        <w:tc>
          <w:tcPr>
            <w:tcW w:w="453" w:type="dxa"/>
            <w:noWrap w:val="0"/>
            <w:vAlign w:val="center"/>
          </w:tcPr>
          <w:p w14:paraId="63AC5CB9">
            <w:pPr>
              <w:tabs>
                <w:tab w:val="left" w:pos="1080"/>
              </w:tabs>
              <w:rPr>
                <w:sz w:val="24"/>
              </w:rPr>
            </w:pPr>
            <w:r>
              <w:rPr>
                <w:sz w:val="24"/>
              </w:rPr>
              <w:t>3-2</w:t>
            </w:r>
          </w:p>
        </w:tc>
        <w:tc>
          <w:tcPr>
            <w:tcW w:w="916" w:type="dxa"/>
            <w:noWrap w:val="0"/>
            <w:vAlign w:val="center"/>
          </w:tcPr>
          <w:p w14:paraId="1B4E0239">
            <w:pPr>
              <w:tabs>
                <w:tab w:val="left" w:pos="1080"/>
              </w:tabs>
              <w:rPr>
                <w:sz w:val="24"/>
              </w:rPr>
            </w:pPr>
            <w:r>
              <w:rPr>
                <w:sz w:val="24"/>
              </w:rPr>
              <w:t>其他特定资格要求</w:t>
            </w:r>
          </w:p>
        </w:tc>
        <w:tc>
          <w:tcPr>
            <w:tcW w:w="2214" w:type="dxa"/>
            <w:noWrap w:val="0"/>
            <w:vAlign w:val="center"/>
          </w:tcPr>
          <w:p w14:paraId="6E0D635A">
            <w:pPr>
              <w:tabs>
                <w:tab w:val="left" w:pos="1080"/>
              </w:tabs>
              <w:rPr>
                <w:sz w:val="24"/>
              </w:rPr>
            </w:pPr>
            <w:r>
              <w:rPr>
                <w:color w:val="000000"/>
                <w:sz w:val="24"/>
              </w:rPr>
              <w:t>如有，见</w:t>
            </w:r>
            <w:r>
              <w:rPr>
                <w:sz w:val="24"/>
              </w:rPr>
              <w:t>第一章《采购邀请》</w:t>
            </w:r>
          </w:p>
        </w:tc>
        <w:tc>
          <w:tcPr>
            <w:tcW w:w="685" w:type="dxa"/>
            <w:noWrap w:val="0"/>
            <w:vAlign w:val="center"/>
          </w:tcPr>
          <w:p w14:paraId="0E671371">
            <w:pPr>
              <w:tabs>
                <w:tab w:val="left" w:pos="1080"/>
              </w:tabs>
              <w:rPr>
                <w:sz w:val="24"/>
              </w:rPr>
            </w:pPr>
            <w:r>
              <w:rPr>
                <w:sz w:val="24"/>
              </w:rPr>
              <w:t>提供证明文件的电子件或电子证照</w:t>
            </w:r>
          </w:p>
        </w:tc>
        <w:tc>
          <w:tcPr>
            <w:tcW w:w="729" w:type="dxa"/>
            <w:noWrap w:val="0"/>
            <w:vAlign w:val="center"/>
          </w:tcPr>
          <w:p w14:paraId="6AFEB98A">
            <w:pPr>
              <w:tabs>
                <w:tab w:val="left" w:pos="1080"/>
              </w:tabs>
              <w:rPr>
                <w:sz w:val="24"/>
              </w:rPr>
            </w:pPr>
            <w:r>
              <w:rPr>
                <w:sz w:val="24"/>
              </w:rPr>
              <w:t>允许</w:t>
            </w:r>
          </w:p>
        </w:tc>
      </w:tr>
    </w:tbl>
    <w:p w14:paraId="6E0C7FC1">
      <w:pPr>
        <w:widowControl/>
        <w:jc w:val="left"/>
        <w:rPr>
          <w:sz w:val="24"/>
        </w:rPr>
      </w:pPr>
      <w:r>
        <w:rPr>
          <w:sz w:val="24"/>
        </w:rPr>
        <w:br w:type="page" w:clear="all"/>
      </w:r>
    </w:p>
    <w:p w14:paraId="6F015F9E">
      <w:pPr>
        <w:numPr>
          <w:ilvl w:val="1"/>
          <w:numId w:val="12"/>
        </w:numPr>
        <w:tabs>
          <w:tab w:val="left" w:pos="1080"/>
          <w:tab w:val="left" w:pos="1589"/>
        </w:tabs>
        <w:spacing w:line="360" w:lineRule="auto"/>
        <w:ind w:left="1077" w:hanging="720"/>
        <w:rPr>
          <w:sz w:val="24"/>
        </w:rPr>
      </w:pPr>
      <w:r>
        <w:rPr>
          <w:sz w:val="24"/>
        </w:rPr>
        <w:t>《符合性审查要求》见下表：</w:t>
      </w:r>
    </w:p>
    <w:p w14:paraId="5391C022">
      <w:pPr>
        <w:jc w:val="center"/>
        <w:rPr>
          <w:b/>
          <w:sz w:val="24"/>
        </w:rPr>
      </w:pPr>
      <w:r>
        <w:rPr>
          <w:b/>
          <w:sz w:val="24"/>
        </w:rPr>
        <w:t>符合性审查要求</w:t>
      </w:r>
    </w:p>
    <w:tbl>
      <w:tblPr>
        <w:tblStyle w:val="30"/>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472"/>
        <w:gridCol w:w="1872"/>
        <w:gridCol w:w="6944"/>
      </w:tblGrid>
      <w:tr w14:paraId="32A856A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00" w:hRule="atLeast"/>
          <w:jc w:val="center"/>
        </w:trPr>
        <w:tc>
          <w:tcPr>
            <w:tcW w:w="404" w:type="dxa"/>
            <w:noWrap w:val="0"/>
            <w:vAlign w:val="center"/>
          </w:tcPr>
          <w:p w14:paraId="21F3CA36">
            <w:pPr>
              <w:widowControl/>
              <w:jc w:val="center"/>
              <w:rPr>
                <w:b/>
                <w:color w:val="000000"/>
                <w:sz w:val="24"/>
              </w:rPr>
            </w:pPr>
            <w:r>
              <w:rPr>
                <w:b/>
                <w:color w:val="000000"/>
                <w:sz w:val="24"/>
              </w:rPr>
              <w:t>序号</w:t>
            </w:r>
          </w:p>
        </w:tc>
        <w:tc>
          <w:tcPr>
            <w:tcW w:w="976" w:type="dxa"/>
            <w:noWrap w:val="0"/>
            <w:vAlign w:val="center"/>
          </w:tcPr>
          <w:p w14:paraId="5B3219C1">
            <w:pPr>
              <w:widowControl/>
              <w:jc w:val="center"/>
              <w:rPr>
                <w:b/>
                <w:color w:val="000000"/>
                <w:sz w:val="24"/>
              </w:rPr>
            </w:pPr>
            <w:r>
              <w:rPr>
                <w:b/>
                <w:color w:val="000000"/>
                <w:sz w:val="24"/>
              </w:rPr>
              <w:t>审查因素</w:t>
            </w:r>
          </w:p>
        </w:tc>
        <w:tc>
          <w:tcPr>
            <w:tcW w:w="3620" w:type="dxa"/>
            <w:noWrap w:val="0"/>
            <w:vAlign w:val="center"/>
          </w:tcPr>
          <w:p w14:paraId="79CCE714">
            <w:pPr>
              <w:widowControl/>
              <w:jc w:val="center"/>
              <w:rPr>
                <w:b/>
                <w:color w:val="000000"/>
                <w:sz w:val="24"/>
              </w:rPr>
            </w:pPr>
            <w:r>
              <w:rPr>
                <w:b/>
                <w:color w:val="000000"/>
                <w:sz w:val="24"/>
              </w:rPr>
              <w:t>审查内容</w:t>
            </w:r>
          </w:p>
        </w:tc>
      </w:tr>
      <w:tr w14:paraId="2AD2ADC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404" w:type="dxa"/>
            <w:noWrap w:val="0"/>
            <w:vAlign w:val="center"/>
          </w:tcPr>
          <w:p w14:paraId="66210FDC">
            <w:pPr>
              <w:widowControl/>
              <w:jc w:val="center"/>
              <w:rPr>
                <w:color w:val="000000"/>
                <w:sz w:val="24"/>
              </w:rPr>
            </w:pPr>
            <w:r>
              <w:rPr>
                <w:color w:val="000000"/>
                <w:sz w:val="24"/>
              </w:rPr>
              <w:t>1</w:t>
            </w:r>
          </w:p>
        </w:tc>
        <w:tc>
          <w:tcPr>
            <w:tcW w:w="976" w:type="dxa"/>
            <w:noWrap w:val="0"/>
            <w:vAlign w:val="center"/>
          </w:tcPr>
          <w:p w14:paraId="02B3CF2D">
            <w:pPr>
              <w:widowControl/>
              <w:jc w:val="left"/>
              <w:rPr>
                <w:color w:val="000000"/>
                <w:sz w:val="24"/>
              </w:rPr>
            </w:pPr>
            <w:r>
              <w:rPr>
                <w:rFonts w:hint="eastAsia"/>
                <w:color w:val="000000"/>
                <w:sz w:val="24"/>
              </w:rPr>
              <w:t>响应函、法定代表人资格证明书和政府采购供应商信用承诺书</w:t>
            </w:r>
          </w:p>
        </w:tc>
        <w:tc>
          <w:tcPr>
            <w:tcW w:w="3620" w:type="dxa"/>
            <w:noWrap w:val="0"/>
            <w:vAlign w:val="center"/>
          </w:tcPr>
          <w:p w14:paraId="30D84564">
            <w:pPr>
              <w:widowControl/>
              <w:jc w:val="left"/>
              <w:rPr>
                <w:color w:val="000000"/>
                <w:sz w:val="24"/>
              </w:rPr>
            </w:pPr>
            <w:r>
              <w:rPr>
                <w:color w:val="000000"/>
                <w:sz w:val="24"/>
              </w:rPr>
              <w:t>按</w:t>
            </w:r>
            <w:r>
              <w:rPr>
                <w:rFonts w:hint="eastAsia"/>
                <w:color w:val="000000"/>
                <w:sz w:val="24"/>
              </w:rPr>
              <w:t>单一来源文件</w:t>
            </w:r>
            <w:r>
              <w:rPr>
                <w:color w:val="000000"/>
                <w:sz w:val="24"/>
              </w:rPr>
              <w:t>要求提供</w:t>
            </w:r>
            <w:r>
              <w:rPr>
                <w:rFonts w:hint="eastAsia"/>
                <w:color w:val="000000"/>
                <w:sz w:val="24"/>
              </w:rPr>
              <w:t>响应函、法定代表人资格证明书和政府采购供应商信用承诺书</w:t>
            </w:r>
            <w:r>
              <w:rPr>
                <w:color w:val="000000"/>
                <w:sz w:val="24"/>
              </w:rPr>
              <w:t>；</w:t>
            </w:r>
          </w:p>
        </w:tc>
      </w:tr>
      <w:tr w14:paraId="147C7A5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404" w:type="dxa"/>
            <w:noWrap w:val="0"/>
            <w:vAlign w:val="center"/>
          </w:tcPr>
          <w:p w14:paraId="59F0B56C">
            <w:pPr>
              <w:widowControl/>
              <w:jc w:val="center"/>
              <w:rPr>
                <w:color w:val="000000"/>
                <w:sz w:val="24"/>
              </w:rPr>
            </w:pPr>
            <w:r>
              <w:rPr>
                <w:color w:val="000000"/>
                <w:sz w:val="24"/>
              </w:rPr>
              <w:t>2</w:t>
            </w:r>
          </w:p>
        </w:tc>
        <w:tc>
          <w:tcPr>
            <w:tcW w:w="976" w:type="dxa"/>
            <w:noWrap w:val="0"/>
            <w:vAlign w:val="center"/>
          </w:tcPr>
          <w:p w14:paraId="29F62BAC">
            <w:pPr>
              <w:widowControl/>
              <w:jc w:val="left"/>
              <w:rPr>
                <w:color w:val="000000"/>
                <w:sz w:val="24"/>
              </w:rPr>
            </w:pPr>
            <w:r>
              <w:rPr>
                <w:color w:val="000000"/>
                <w:sz w:val="24"/>
              </w:rPr>
              <w:t>响应完整性</w:t>
            </w:r>
          </w:p>
        </w:tc>
        <w:tc>
          <w:tcPr>
            <w:tcW w:w="3620" w:type="dxa"/>
            <w:noWrap w:val="0"/>
            <w:vAlign w:val="center"/>
          </w:tcPr>
          <w:p w14:paraId="2525E824">
            <w:pPr>
              <w:widowControl/>
              <w:jc w:val="left"/>
              <w:rPr>
                <w:color w:val="000000"/>
                <w:sz w:val="24"/>
              </w:rPr>
            </w:pPr>
            <w:r>
              <w:rPr>
                <w:rFonts w:hint="eastAsia"/>
                <w:sz w:val="24"/>
              </w:rPr>
              <w:t>未</w:t>
            </w:r>
            <w:r>
              <w:rPr>
                <w:sz w:val="24"/>
              </w:rPr>
              <w:t>将一个采购包中的内容拆开响应；</w:t>
            </w:r>
          </w:p>
        </w:tc>
      </w:tr>
      <w:tr w14:paraId="7FC05D3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404" w:type="dxa"/>
            <w:noWrap w:val="0"/>
            <w:vAlign w:val="center"/>
          </w:tcPr>
          <w:p w14:paraId="054CBF20">
            <w:pPr>
              <w:widowControl/>
              <w:jc w:val="center"/>
              <w:rPr>
                <w:color w:val="000000"/>
                <w:sz w:val="24"/>
              </w:rPr>
            </w:pPr>
            <w:r>
              <w:rPr>
                <w:color w:val="000000"/>
                <w:sz w:val="24"/>
              </w:rPr>
              <w:t>3</w:t>
            </w:r>
          </w:p>
        </w:tc>
        <w:tc>
          <w:tcPr>
            <w:tcW w:w="976" w:type="dxa"/>
            <w:noWrap w:val="0"/>
            <w:vAlign w:val="center"/>
          </w:tcPr>
          <w:p w14:paraId="73283266">
            <w:pPr>
              <w:widowControl/>
              <w:jc w:val="left"/>
              <w:rPr>
                <w:color w:val="000000"/>
                <w:sz w:val="24"/>
              </w:rPr>
            </w:pPr>
            <w:r>
              <w:rPr>
                <w:color w:val="000000"/>
                <w:sz w:val="24"/>
              </w:rPr>
              <w:t>响应报价</w:t>
            </w:r>
          </w:p>
        </w:tc>
        <w:tc>
          <w:tcPr>
            <w:tcW w:w="3620" w:type="dxa"/>
            <w:noWrap w:val="0"/>
            <w:vAlign w:val="center"/>
          </w:tcPr>
          <w:p w14:paraId="37A99A8B">
            <w:pPr>
              <w:widowControl/>
              <w:jc w:val="left"/>
              <w:rPr>
                <w:color w:val="000000"/>
                <w:sz w:val="24"/>
              </w:rPr>
            </w:pPr>
            <w:r>
              <w:rPr>
                <w:color w:val="000000"/>
                <w:sz w:val="24"/>
              </w:rPr>
              <w:t>响应报价</w:t>
            </w:r>
            <w:r>
              <w:rPr>
                <w:rFonts w:hint="eastAsia"/>
                <w:color w:val="000000"/>
                <w:sz w:val="24"/>
              </w:rPr>
              <w:t>未</w:t>
            </w:r>
            <w:r>
              <w:rPr>
                <w:color w:val="000000"/>
                <w:sz w:val="24"/>
              </w:rPr>
              <w:t>超过</w:t>
            </w:r>
            <w:r>
              <w:rPr>
                <w:rFonts w:hint="eastAsia"/>
                <w:color w:val="000000"/>
                <w:sz w:val="24"/>
              </w:rPr>
              <w:t>单一来源文件</w:t>
            </w:r>
            <w:r>
              <w:rPr>
                <w:color w:val="000000"/>
                <w:sz w:val="24"/>
              </w:rPr>
              <w:t>中规定的项目/采购包预算金额或者项目/采购包最高限价；</w:t>
            </w:r>
          </w:p>
        </w:tc>
      </w:tr>
      <w:tr w14:paraId="1CA2A43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404" w:type="dxa"/>
            <w:noWrap w:val="0"/>
            <w:vAlign w:val="center"/>
          </w:tcPr>
          <w:p w14:paraId="1A9117D0">
            <w:pPr>
              <w:widowControl/>
              <w:jc w:val="center"/>
              <w:rPr>
                <w:color w:val="000000"/>
                <w:sz w:val="24"/>
              </w:rPr>
            </w:pPr>
            <w:r>
              <w:rPr>
                <w:color w:val="000000"/>
                <w:sz w:val="24"/>
              </w:rPr>
              <w:t>4</w:t>
            </w:r>
          </w:p>
        </w:tc>
        <w:tc>
          <w:tcPr>
            <w:tcW w:w="976" w:type="dxa"/>
            <w:noWrap w:val="0"/>
            <w:vAlign w:val="center"/>
          </w:tcPr>
          <w:p w14:paraId="33195481">
            <w:pPr>
              <w:widowControl/>
              <w:jc w:val="left"/>
              <w:rPr>
                <w:color w:val="000000"/>
                <w:sz w:val="24"/>
              </w:rPr>
            </w:pPr>
            <w:r>
              <w:rPr>
                <w:color w:val="000000"/>
                <w:sz w:val="24"/>
              </w:rPr>
              <w:t>报价唯一性</w:t>
            </w:r>
          </w:p>
        </w:tc>
        <w:tc>
          <w:tcPr>
            <w:tcW w:w="3620" w:type="dxa"/>
            <w:noWrap w:val="0"/>
            <w:vAlign w:val="center"/>
          </w:tcPr>
          <w:p w14:paraId="26A433A2">
            <w:pPr>
              <w:widowControl/>
              <w:jc w:val="left"/>
              <w:rPr>
                <w:color w:val="000000"/>
                <w:sz w:val="24"/>
              </w:rPr>
            </w:pPr>
            <w:r>
              <w:rPr>
                <w:color w:val="000000"/>
                <w:sz w:val="24"/>
              </w:rPr>
              <w:t>响应文件</w:t>
            </w:r>
            <w:r>
              <w:rPr>
                <w:rFonts w:hint="eastAsia"/>
                <w:color w:val="000000"/>
                <w:sz w:val="24"/>
              </w:rPr>
              <w:t>未</w:t>
            </w:r>
            <w:r>
              <w:rPr>
                <w:rFonts w:hint="eastAsia"/>
                <w:sz w:val="24"/>
              </w:rPr>
              <w:t>出现可选择性或可调整的报价（单一来源文件另有规定的除外）</w:t>
            </w:r>
            <w:r>
              <w:rPr>
                <w:color w:val="000000"/>
                <w:sz w:val="24"/>
              </w:rPr>
              <w:t>；</w:t>
            </w:r>
          </w:p>
        </w:tc>
      </w:tr>
      <w:tr w14:paraId="725F149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404" w:type="dxa"/>
            <w:noWrap w:val="0"/>
            <w:vAlign w:val="center"/>
          </w:tcPr>
          <w:p w14:paraId="6035A9A1">
            <w:pPr>
              <w:widowControl/>
              <w:jc w:val="center"/>
              <w:rPr>
                <w:color w:val="000000"/>
                <w:sz w:val="24"/>
              </w:rPr>
            </w:pPr>
            <w:r>
              <w:rPr>
                <w:color w:val="000000"/>
                <w:sz w:val="24"/>
              </w:rPr>
              <w:t>5</w:t>
            </w:r>
          </w:p>
        </w:tc>
        <w:tc>
          <w:tcPr>
            <w:tcW w:w="976" w:type="dxa"/>
            <w:noWrap w:val="0"/>
            <w:vAlign w:val="center"/>
          </w:tcPr>
          <w:p w14:paraId="5DFDB256">
            <w:pPr>
              <w:widowControl/>
              <w:jc w:val="left"/>
              <w:rPr>
                <w:color w:val="000000"/>
                <w:sz w:val="24"/>
              </w:rPr>
            </w:pPr>
            <w:r>
              <w:rPr>
                <w:color w:val="000000"/>
                <w:sz w:val="24"/>
              </w:rPr>
              <w:t>响应有效期</w:t>
            </w:r>
          </w:p>
        </w:tc>
        <w:tc>
          <w:tcPr>
            <w:tcW w:w="3620" w:type="dxa"/>
            <w:noWrap w:val="0"/>
            <w:vAlign w:val="center"/>
          </w:tcPr>
          <w:p w14:paraId="024620B4">
            <w:pPr>
              <w:widowControl/>
              <w:jc w:val="left"/>
              <w:rPr>
                <w:color w:val="000000"/>
                <w:sz w:val="24"/>
              </w:rPr>
            </w:pPr>
            <w:r>
              <w:rPr>
                <w:color w:val="000000"/>
                <w:sz w:val="24"/>
              </w:rPr>
              <w:t>响应文件中承诺的响应有效期</w:t>
            </w:r>
            <w:r>
              <w:rPr>
                <w:rFonts w:hint="eastAsia"/>
                <w:color w:val="000000"/>
                <w:sz w:val="24"/>
              </w:rPr>
              <w:t>满足单一来源文件</w:t>
            </w:r>
            <w:r>
              <w:rPr>
                <w:color w:val="000000"/>
                <w:sz w:val="24"/>
              </w:rPr>
              <w:t>中载明的响应有效期的；</w:t>
            </w:r>
          </w:p>
        </w:tc>
      </w:tr>
      <w:tr w14:paraId="3D8C526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404" w:type="dxa"/>
            <w:noWrap w:val="0"/>
            <w:vAlign w:val="center"/>
          </w:tcPr>
          <w:p w14:paraId="0F794F93">
            <w:pPr>
              <w:widowControl/>
              <w:jc w:val="center"/>
              <w:rPr>
                <w:color w:val="000000"/>
                <w:sz w:val="24"/>
              </w:rPr>
            </w:pPr>
            <w:r>
              <w:rPr>
                <w:color w:val="000000"/>
                <w:sz w:val="24"/>
              </w:rPr>
              <w:t>6</w:t>
            </w:r>
          </w:p>
        </w:tc>
        <w:tc>
          <w:tcPr>
            <w:tcW w:w="976" w:type="dxa"/>
            <w:noWrap w:val="0"/>
            <w:vAlign w:val="center"/>
          </w:tcPr>
          <w:p w14:paraId="28416030">
            <w:pPr>
              <w:widowControl/>
              <w:jc w:val="left"/>
              <w:rPr>
                <w:color w:val="000000"/>
                <w:sz w:val="24"/>
              </w:rPr>
            </w:pPr>
            <w:r>
              <w:rPr>
                <w:color w:val="000000"/>
                <w:sz w:val="24"/>
              </w:rPr>
              <w:t>签署、加盖公章</w:t>
            </w:r>
          </w:p>
        </w:tc>
        <w:tc>
          <w:tcPr>
            <w:tcW w:w="3620" w:type="dxa"/>
            <w:noWrap w:val="0"/>
            <w:vAlign w:val="center"/>
          </w:tcPr>
          <w:p w14:paraId="5499695C">
            <w:pPr>
              <w:widowControl/>
              <w:jc w:val="left"/>
              <w:rPr>
                <w:color w:val="000000"/>
                <w:sz w:val="24"/>
              </w:rPr>
            </w:pPr>
            <w:r>
              <w:rPr>
                <w:color w:val="000000"/>
                <w:sz w:val="24"/>
              </w:rPr>
              <w:t>按照</w:t>
            </w:r>
            <w:r>
              <w:rPr>
                <w:rFonts w:hint="eastAsia"/>
                <w:color w:val="000000"/>
                <w:sz w:val="24"/>
              </w:rPr>
              <w:t>单一来源文件</w:t>
            </w:r>
            <w:r>
              <w:rPr>
                <w:color w:val="000000"/>
                <w:sz w:val="24"/>
              </w:rPr>
              <w:t>要求签署、加盖公章的；</w:t>
            </w:r>
          </w:p>
        </w:tc>
      </w:tr>
      <w:tr w14:paraId="6B92B1F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404" w:type="dxa"/>
            <w:noWrap w:val="0"/>
            <w:vAlign w:val="center"/>
          </w:tcPr>
          <w:p w14:paraId="4ED2AB4E">
            <w:pPr>
              <w:widowControl/>
              <w:jc w:val="center"/>
              <w:rPr>
                <w:color w:val="000000"/>
                <w:sz w:val="24"/>
              </w:rPr>
            </w:pPr>
            <w:r>
              <w:rPr>
                <w:rFonts w:hint="eastAsia"/>
                <w:color w:val="000000"/>
                <w:sz w:val="24"/>
              </w:rPr>
              <w:t>7</w:t>
            </w:r>
          </w:p>
        </w:tc>
        <w:tc>
          <w:tcPr>
            <w:tcW w:w="976" w:type="dxa"/>
            <w:noWrap w:val="0"/>
            <w:vAlign w:val="center"/>
          </w:tcPr>
          <w:p w14:paraId="7A89E7FB">
            <w:pPr>
              <w:widowControl/>
              <w:jc w:val="left"/>
              <w:rPr>
                <w:color w:val="000000"/>
                <w:sz w:val="24"/>
              </w:rPr>
            </w:pPr>
            <w:r>
              <w:rPr>
                <w:rFonts w:hint="eastAsia"/>
                <w:color w:val="000000"/>
                <w:sz w:val="24"/>
              </w:rPr>
              <w:t>实质性格式</w:t>
            </w:r>
          </w:p>
        </w:tc>
        <w:tc>
          <w:tcPr>
            <w:tcW w:w="3620" w:type="dxa"/>
            <w:noWrap w:val="0"/>
            <w:vAlign w:val="center"/>
          </w:tcPr>
          <w:p w14:paraId="1CC2258A">
            <w:pPr>
              <w:widowControl/>
              <w:jc w:val="left"/>
              <w:rPr>
                <w:color w:val="000000"/>
                <w:sz w:val="24"/>
              </w:rPr>
            </w:pPr>
            <w:r>
              <w:rPr>
                <w:rFonts w:hint="eastAsia"/>
                <w:sz w:val="24"/>
              </w:rPr>
              <w:t>标记为</w:t>
            </w:r>
            <w:r>
              <w:rPr>
                <w:sz w:val="24"/>
              </w:rPr>
              <w:t>“实质性格式”的</w:t>
            </w:r>
            <w:r>
              <w:rPr>
                <w:rFonts w:hint="eastAsia"/>
                <w:sz w:val="24"/>
              </w:rPr>
              <w:t>文件均按单一来源文件要求提供；</w:t>
            </w:r>
          </w:p>
        </w:tc>
      </w:tr>
      <w:tr w14:paraId="689A1B7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404" w:type="dxa"/>
            <w:noWrap w:val="0"/>
            <w:vAlign w:val="center"/>
          </w:tcPr>
          <w:p w14:paraId="2AAD0115">
            <w:pPr>
              <w:widowControl/>
              <w:jc w:val="center"/>
              <w:rPr>
                <w:color w:val="000000"/>
                <w:sz w:val="24"/>
              </w:rPr>
            </w:pPr>
            <w:r>
              <w:rPr>
                <w:color w:val="000000"/>
                <w:sz w:val="24"/>
              </w:rPr>
              <w:t>8</w:t>
            </w:r>
          </w:p>
        </w:tc>
        <w:tc>
          <w:tcPr>
            <w:tcW w:w="976" w:type="dxa"/>
            <w:noWrap w:val="0"/>
            <w:vAlign w:val="center"/>
          </w:tcPr>
          <w:p w14:paraId="03F85E3E">
            <w:pPr>
              <w:widowControl/>
              <w:jc w:val="left"/>
              <w:rPr>
                <w:color w:val="000000"/>
                <w:sz w:val="24"/>
              </w:rPr>
            </w:pPr>
            <w:r>
              <w:rPr>
                <w:rFonts w:ascii="Segoe UI Symbol" w:hAnsi="Segoe UI Symbol" w:cs="Segoe UI Symbol"/>
                <w:color w:val="000000"/>
                <w:sz w:val="24"/>
              </w:rPr>
              <w:t>★</w:t>
            </w:r>
            <w:r>
              <w:rPr>
                <w:color w:val="000000"/>
                <w:sz w:val="24"/>
              </w:rPr>
              <w:t>号条款响应</w:t>
            </w:r>
          </w:p>
        </w:tc>
        <w:tc>
          <w:tcPr>
            <w:tcW w:w="3620" w:type="dxa"/>
            <w:noWrap w:val="0"/>
            <w:vAlign w:val="center"/>
          </w:tcPr>
          <w:p w14:paraId="7DF46BE8">
            <w:pPr>
              <w:widowControl/>
              <w:jc w:val="left"/>
              <w:rPr>
                <w:color w:val="000000"/>
                <w:sz w:val="24"/>
              </w:rPr>
            </w:pPr>
            <w:r>
              <w:rPr>
                <w:color w:val="000000"/>
                <w:sz w:val="24"/>
              </w:rPr>
              <w:t>响应文件满足</w:t>
            </w:r>
            <w:r>
              <w:rPr>
                <w:rFonts w:hint="eastAsia"/>
                <w:color w:val="000000"/>
                <w:sz w:val="24"/>
              </w:rPr>
              <w:t>单一来源文件</w:t>
            </w:r>
            <w:r>
              <w:rPr>
                <w:sz w:val="24"/>
              </w:rPr>
              <w:t>第</w:t>
            </w:r>
            <w:r>
              <w:rPr>
                <w:rFonts w:hint="eastAsia"/>
                <w:sz w:val="24"/>
              </w:rPr>
              <w:t>四</w:t>
            </w:r>
            <w:r>
              <w:rPr>
                <w:sz w:val="24"/>
              </w:rPr>
              <w:t>章《采购需求》</w:t>
            </w:r>
            <w:r>
              <w:rPr>
                <w:color w:val="000000"/>
                <w:sz w:val="24"/>
              </w:rPr>
              <w:t>中</w:t>
            </w:r>
            <w:r>
              <w:rPr>
                <w:rFonts w:ascii="Segoe UI Symbol" w:hAnsi="Segoe UI Symbol" w:cs="Segoe UI Symbol"/>
                <w:color w:val="000000"/>
                <w:sz w:val="24"/>
              </w:rPr>
              <w:t>★</w:t>
            </w:r>
            <w:r>
              <w:rPr>
                <w:color w:val="000000"/>
                <w:sz w:val="24"/>
              </w:rPr>
              <w:t>号条款要求的；</w:t>
            </w:r>
          </w:p>
        </w:tc>
      </w:tr>
      <w:tr w14:paraId="29599C8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404" w:type="dxa"/>
            <w:noWrap w:val="0"/>
            <w:vAlign w:val="center"/>
          </w:tcPr>
          <w:p w14:paraId="4ED76B67">
            <w:pPr>
              <w:widowControl/>
              <w:jc w:val="center"/>
              <w:rPr>
                <w:color w:val="000000"/>
                <w:sz w:val="24"/>
              </w:rPr>
            </w:pPr>
            <w:r>
              <w:rPr>
                <w:color w:val="000000"/>
                <w:sz w:val="24"/>
              </w:rPr>
              <w:t>9</w:t>
            </w:r>
          </w:p>
        </w:tc>
        <w:tc>
          <w:tcPr>
            <w:tcW w:w="976" w:type="dxa"/>
            <w:noWrap w:val="0"/>
            <w:vAlign w:val="center"/>
          </w:tcPr>
          <w:p w14:paraId="12B4FB46">
            <w:pPr>
              <w:widowControl/>
              <w:jc w:val="left"/>
              <w:rPr>
                <w:color w:val="000000"/>
                <w:sz w:val="24"/>
              </w:rPr>
            </w:pPr>
            <w:r>
              <w:rPr>
                <w:color w:val="000000"/>
                <w:sz w:val="24"/>
              </w:rPr>
              <w:t>分包承担主体资质（如有）</w:t>
            </w:r>
          </w:p>
        </w:tc>
        <w:tc>
          <w:tcPr>
            <w:tcW w:w="3620" w:type="dxa"/>
            <w:noWrap w:val="0"/>
            <w:vAlign w:val="center"/>
          </w:tcPr>
          <w:p w14:paraId="4CAB851A">
            <w:pPr>
              <w:widowControl/>
              <w:jc w:val="left"/>
              <w:rPr>
                <w:color w:val="000000"/>
                <w:sz w:val="24"/>
              </w:rPr>
            </w:pPr>
            <w:r>
              <w:rPr>
                <w:sz w:val="24"/>
              </w:rPr>
              <w:t>分包承担主体具备《供应商须知资料表》载明的资质条件</w:t>
            </w:r>
            <w:r>
              <w:rPr>
                <w:rFonts w:hint="eastAsia"/>
                <w:sz w:val="24"/>
              </w:rPr>
              <w:t>且</w:t>
            </w:r>
            <w:r>
              <w:rPr>
                <w:sz w:val="24"/>
              </w:rPr>
              <w:t>提供</w:t>
            </w:r>
            <w:r>
              <w:rPr>
                <w:rFonts w:hint="eastAsia"/>
                <w:sz w:val="24"/>
              </w:rPr>
              <w:t>了</w:t>
            </w:r>
            <w:r>
              <w:rPr>
                <w:sz w:val="24"/>
              </w:rPr>
              <w:t>资质证书电子件</w:t>
            </w:r>
            <w:r>
              <w:rPr>
                <w:rFonts w:hint="eastAsia"/>
                <w:sz w:val="24"/>
              </w:rPr>
              <w:t>（如有）</w:t>
            </w:r>
            <w:r>
              <w:rPr>
                <w:sz w:val="24"/>
              </w:rPr>
              <w:t>；</w:t>
            </w:r>
          </w:p>
        </w:tc>
      </w:tr>
      <w:tr w14:paraId="248899A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404" w:type="dxa"/>
            <w:noWrap w:val="0"/>
            <w:vAlign w:val="center"/>
          </w:tcPr>
          <w:p w14:paraId="06802C29">
            <w:pPr>
              <w:widowControl/>
              <w:jc w:val="center"/>
              <w:rPr>
                <w:color w:val="000000"/>
                <w:sz w:val="24"/>
              </w:rPr>
            </w:pPr>
            <w:r>
              <w:rPr>
                <w:color w:val="000000"/>
                <w:sz w:val="24"/>
              </w:rPr>
              <w:t>10</w:t>
            </w:r>
          </w:p>
        </w:tc>
        <w:tc>
          <w:tcPr>
            <w:tcW w:w="976" w:type="dxa"/>
            <w:noWrap w:val="0"/>
            <w:vAlign w:val="center"/>
          </w:tcPr>
          <w:p w14:paraId="43252509">
            <w:pPr>
              <w:widowControl/>
              <w:jc w:val="left"/>
              <w:rPr>
                <w:color w:val="000000"/>
                <w:sz w:val="24"/>
              </w:rPr>
            </w:pPr>
            <w:r>
              <w:rPr>
                <w:color w:val="000000"/>
                <w:sz w:val="24"/>
              </w:rPr>
              <w:t>分包意向协议</w:t>
            </w:r>
          </w:p>
          <w:p w14:paraId="6081E323">
            <w:pPr>
              <w:widowControl/>
              <w:jc w:val="left"/>
              <w:rPr>
                <w:color w:val="000000"/>
                <w:sz w:val="24"/>
              </w:rPr>
            </w:pPr>
            <w:r>
              <w:rPr>
                <w:color w:val="000000"/>
                <w:sz w:val="24"/>
              </w:rPr>
              <w:t>（如有）</w:t>
            </w:r>
          </w:p>
        </w:tc>
        <w:tc>
          <w:tcPr>
            <w:tcW w:w="3620" w:type="dxa"/>
            <w:noWrap w:val="0"/>
            <w:vAlign w:val="center"/>
          </w:tcPr>
          <w:p w14:paraId="4FA5DE8E">
            <w:pPr>
              <w:widowControl/>
              <w:jc w:val="left"/>
              <w:rPr>
                <w:color w:val="000000"/>
                <w:sz w:val="24"/>
              </w:rPr>
            </w:pPr>
            <w:r>
              <w:rPr>
                <w:color w:val="000000"/>
                <w:sz w:val="24"/>
              </w:rPr>
              <w:t>按</w:t>
            </w:r>
            <w:r>
              <w:rPr>
                <w:rFonts w:hint="eastAsia"/>
                <w:color w:val="000000"/>
                <w:sz w:val="24"/>
              </w:rPr>
              <w:t>单一来源文件</w:t>
            </w:r>
            <w:r>
              <w:rPr>
                <w:color w:val="000000"/>
                <w:sz w:val="24"/>
              </w:rPr>
              <w:t>规定签订并提供分包意向协议原件的电子件的；</w:t>
            </w:r>
            <w:r>
              <w:rPr>
                <w:rFonts w:hint="eastAsia"/>
                <w:sz w:val="24"/>
              </w:rPr>
              <w:t>（如有）</w:t>
            </w:r>
          </w:p>
        </w:tc>
      </w:tr>
      <w:tr w14:paraId="20FDDB7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404" w:type="dxa"/>
            <w:noWrap w:val="0"/>
            <w:vAlign w:val="center"/>
          </w:tcPr>
          <w:p w14:paraId="71C133DE">
            <w:pPr>
              <w:widowControl/>
              <w:jc w:val="center"/>
              <w:rPr>
                <w:color w:val="000000"/>
                <w:sz w:val="24"/>
              </w:rPr>
            </w:pPr>
            <w:r>
              <w:rPr>
                <w:color w:val="000000"/>
                <w:sz w:val="24"/>
              </w:rPr>
              <w:t>11</w:t>
            </w:r>
          </w:p>
        </w:tc>
        <w:tc>
          <w:tcPr>
            <w:tcW w:w="976" w:type="dxa"/>
            <w:noWrap w:val="0"/>
            <w:vAlign w:val="center"/>
          </w:tcPr>
          <w:p w14:paraId="593ED22F">
            <w:pPr>
              <w:widowControl/>
              <w:jc w:val="left"/>
              <w:rPr>
                <w:color w:val="000000"/>
                <w:sz w:val="24"/>
              </w:rPr>
            </w:pPr>
            <w:r>
              <w:rPr>
                <w:color w:val="000000"/>
                <w:sz w:val="24"/>
              </w:rPr>
              <w:t>报价的修正（如有）</w:t>
            </w:r>
          </w:p>
        </w:tc>
        <w:tc>
          <w:tcPr>
            <w:tcW w:w="3620" w:type="dxa"/>
            <w:noWrap w:val="0"/>
            <w:vAlign w:val="center"/>
          </w:tcPr>
          <w:p w14:paraId="4F3C73C7">
            <w:pPr>
              <w:widowControl/>
              <w:jc w:val="left"/>
              <w:rPr>
                <w:color w:val="000000"/>
                <w:sz w:val="24"/>
              </w:rPr>
            </w:pPr>
            <w:r>
              <w:rPr>
                <w:rFonts w:hint="eastAsia"/>
                <w:color w:val="000000"/>
                <w:sz w:val="24"/>
              </w:rPr>
              <w:t>不涉及报价修正</w:t>
            </w:r>
            <w:r>
              <w:rPr>
                <w:color w:val="000000"/>
                <w:sz w:val="24"/>
              </w:rPr>
              <w:t>，或响应文件报价出现前后不一致</w:t>
            </w:r>
            <w:r>
              <w:rPr>
                <w:rFonts w:hint="eastAsia"/>
                <w:color w:val="000000"/>
                <w:sz w:val="24"/>
              </w:rPr>
              <w:t>时</w:t>
            </w:r>
            <w:r>
              <w:rPr>
                <w:color w:val="000000"/>
                <w:sz w:val="24"/>
              </w:rPr>
              <w:t>，供应商对修正后的报价予</w:t>
            </w:r>
            <w:r>
              <w:rPr>
                <w:rFonts w:hint="eastAsia"/>
                <w:color w:val="000000"/>
                <w:sz w:val="24"/>
              </w:rPr>
              <w:t>以</w:t>
            </w:r>
            <w:r>
              <w:rPr>
                <w:color w:val="000000"/>
                <w:sz w:val="24"/>
              </w:rPr>
              <w:t>确认；（如有）</w:t>
            </w:r>
          </w:p>
        </w:tc>
      </w:tr>
      <w:tr w14:paraId="56A8FC4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404" w:type="dxa"/>
            <w:noWrap w:val="0"/>
            <w:vAlign w:val="center"/>
          </w:tcPr>
          <w:p w14:paraId="504DCB77">
            <w:pPr>
              <w:widowControl/>
              <w:jc w:val="center"/>
              <w:rPr>
                <w:color w:val="000000"/>
                <w:sz w:val="24"/>
              </w:rPr>
            </w:pPr>
            <w:r>
              <w:rPr>
                <w:color w:val="000000"/>
                <w:sz w:val="24"/>
              </w:rPr>
              <w:t>1</w:t>
            </w:r>
            <w:r>
              <w:rPr>
                <w:rFonts w:hint="eastAsia"/>
                <w:color w:val="000000"/>
                <w:sz w:val="24"/>
              </w:rPr>
              <w:t>2</w:t>
            </w:r>
          </w:p>
        </w:tc>
        <w:tc>
          <w:tcPr>
            <w:tcW w:w="976" w:type="dxa"/>
            <w:noWrap w:val="0"/>
            <w:vAlign w:val="center"/>
          </w:tcPr>
          <w:p w14:paraId="26B2839C">
            <w:pPr>
              <w:widowControl/>
              <w:jc w:val="left"/>
              <w:rPr>
                <w:color w:val="000000"/>
                <w:sz w:val="24"/>
              </w:rPr>
            </w:pPr>
            <w:r>
              <w:rPr>
                <w:color w:val="000000"/>
                <w:sz w:val="24"/>
              </w:rPr>
              <w:t>进口产品</w:t>
            </w:r>
          </w:p>
          <w:p w14:paraId="6CB5DF8D">
            <w:pPr>
              <w:widowControl/>
              <w:jc w:val="left"/>
              <w:rPr>
                <w:color w:val="000000"/>
                <w:sz w:val="24"/>
              </w:rPr>
            </w:pPr>
            <w:r>
              <w:rPr>
                <w:color w:val="000000"/>
                <w:sz w:val="24"/>
              </w:rPr>
              <w:t>（如有）</w:t>
            </w:r>
          </w:p>
        </w:tc>
        <w:tc>
          <w:tcPr>
            <w:tcW w:w="3620" w:type="dxa"/>
            <w:noWrap w:val="0"/>
            <w:vAlign w:val="center"/>
          </w:tcPr>
          <w:p w14:paraId="1E8C04AB">
            <w:pPr>
              <w:widowControl/>
              <w:jc w:val="left"/>
              <w:rPr>
                <w:color w:val="000000"/>
                <w:sz w:val="24"/>
              </w:rPr>
            </w:pPr>
            <w:r>
              <w:rPr>
                <w:rFonts w:hint="eastAsia" w:ascii="宋体" w:hAnsi="宋体"/>
                <w:sz w:val="24"/>
              </w:rPr>
              <w:t>单一来源文件</w:t>
            </w:r>
            <w:r>
              <w:rPr>
                <w:rFonts w:ascii="宋体" w:hAnsi="宋体"/>
                <w:sz w:val="24"/>
              </w:rPr>
              <w:t>不接受进口产品响应</w:t>
            </w:r>
            <w:r>
              <w:rPr>
                <w:rFonts w:hint="eastAsia" w:ascii="宋体" w:hAnsi="宋体"/>
                <w:sz w:val="24"/>
              </w:rPr>
              <w:t>的内容时</w:t>
            </w:r>
            <w:r>
              <w:rPr>
                <w:rFonts w:ascii="宋体" w:hAnsi="宋体"/>
                <w:sz w:val="24"/>
              </w:rPr>
              <w:t>，</w:t>
            </w:r>
            <w:r>
              <w:rPr>
                <w:rFonts w:hint="eastAsia" w:ascii="宋体" w:hAnsi="宋体"/>
                <w:sz w:val="24"/>
              </w:rPr>
              <w:t>供应商所投产品非进口产品的；</w:t>
            </w:r>
          </w:p>
        </w:tc>
      </w:tr>
      <w:tr w14:paraId="2C2A875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404" w:type="dxa"/>
            <w:noWrap w:val="0"/>
            <w:vAlign w:val="center"/>
          </w:tcPr>
          <w:p w14:paraId="04A2910B">
            <w:pPr>
              <w:widowControl/>
              <w:jc w:val="center"/>
              <w:rPr>
                <w:color w:val="000000"/>
                <w:sz w:val="24"/>
              </w:rPr>
            </w:pPr>
            <w:r>
              <w:rPr>
                <w:color w:val="000000"/>
                <w:sz w:val="24"/>
              </w:rPr>
              <w:t>1</w:t>
            </w:r>
            <w:r>
              <w:rPr>
                <w:rFonts w:hint="eastAsia"/>
                <w:color w:val="000000"/>
                <w:sz w:val="24"/>
              </w:rPr>
              <w:t>3</w:t>
            </w:r>
          </w:p>
        </w:tc>
        <w:tc>
          <w:tcPr>
            <w:tcW w:w="1813" w:type="dxa"/>
            <w:noWrap w:val="0"/>
            <w:vAlign w:val="center"/>
          </w:tcPr>
          <w:p w14:paraId="06283D67">
            <w:pPr>
              <w:widowControl/>
              <w:jc w:val="left"/>
              <w:rPr>
                <w:b/>
                <w:bCs/>
                <w:color w:val="000000"/>
                <w:sz w:val="24"/>
              </w:rPr>
            </w:pPr>
            <w:r>
              <w:rPr>
                <w:color w:val="000000"/>
                <w:sz w:val="24"/>
              </w:rPr>
              <w:t>国家有关部门对供应商的响应产品有强制性规定或要求的</w:t>
            </w:r>
          </w:p>
        </w:tc>
        <w:tc>
          <w:tcPr>
            <w:tcW w:w="6725" w:type="dxa"/>
            <w:noWrap w:val="0"/>
            <w:vAlign w:val="center"/>
          </w:tcPr>
          <w:p w14:paraId="590653C5">
            <w:pPr>
              <w:widowControl/>
              <w:jc w:val="left"/>
              <w:rPr>
                <w:color w:val="000000"/>
                <w:sz w:val="24"/>
              </w:rPr>
            </w:pPr>
            <w:r>
              <w:rPr>
                <w:color w:val="000000"/>
                <w:sz w:val="24"/>
              </w:rPr>
              <w:t>国家有关部门对供应商的响应产品有强制性规定或要求的（如相应技术、安全、节能和环保等），供应商的响应产品</w:t>
            </w:r>
            <w:r>
              <w:rPr>
                <w:rFonts w:hint="eastAsia"/>
                <w:color w:val="000000"/>
                <w:sz w:val="24"/>
              </w:rPr>
              <w:t>应</w:t>
            </w:r>
            <w:r>
              <w:rPr>
                <w:color w:val="000000"/>
                <w:sz w:val="24"/>
              </w:rPr>
              <w:t>符合相应规定或要求</w:t>
            </w:r>
            <w:r>
              <w:rPr>
                <w:rFonts w:hint="eastAsia"/>
                <w:color w:val="000000"/>
                <w:sz w:val="24"/>
              </w:rPr>
              <w:t>，并提供证明文件电子件：</w:t>
            </w:r>
          </w:p>
          <w:p w14:paraId="67D2BDDE">
            <w:pPr>
              <w:widowControl/>
              <w:jc w:val="left"/>
              <w:rPr>
                <w:color w:val="000000"/>
                <w:sz w:val="24"/>
              </w:rPr>
            </w:pPr>
            <w:r>
              <w:rPr>
                <w:rFonts w:hint="eastAsia"/>
                <w:color w:val="000000"/>
                <w:sz w:val="24"/>
              </w:rPr>
              <w:t>1）</w:t>
            </w:r>
            <w:r>
              <w:rPr>
                <w:color w:val="000000"/>
                <w:sz w:val="24"/>
              </w:rPr>
              <w:t>采购的产品若属于《节能产品政府采购品目清单》范围中政府强制采购产品，则供应商所报产品必须获得国家确定的认证机构出具的、处于有效期之内的节能产品认证证书；</w:t>
            </w:r>
          </w:p>
          <w:p w14:paraId="48E49D7C">
            <w:pPr>
              <w:widowControl/>
              <w:jc w:val="left"/>
              <w:rPr>
                <w:color w:val="000000"/>
                <w:sz w:val="24"/>
              </w:rPr>
            </w:pPr>
            <w:r>
              <w:rPr>
                <w:rFonts w:hint="eastAsia"/>
                <w:color w:val="000000"/>
                <w:sz w:val="24"/>
              </w:rPr>
              <w:t>2）</w:t>
            </w:r>
            <w:r>
              <w:rPr>
                <w:color w:val="000000"/>
                <w:sz w:val="24"/>
              </w:rPr>
              <w:t>响应产品如涉及计算机信息系统安全专用产品的，须</w:t>
            </w:r>
            <w:r>
              <w:rPr>
                <w:rFonts w:hint="eastAsia"/>
                <w:color w:val="000000"/>
                <w:sz w:val="24"/>
              </w:rPr>
              <w:t>提供</w:t>
            </w:r>
            <w:r>
              <w:rPr>
                <w:color w:val="000000"/>
                <w:sz w:val="24"/>
              </w:rPr>
              <w:t>公安部颁发的计算机信息系统安全专用产品销售许可证；</w:t>
            </w:r>
          </w:p>
          <w:p w14:paraId="71E4BF19">
            <w:pPr>
              <w:widowControl/>
              <w:jc w:val="left"/>
              <w:rPr>
                <w:color w:val="000000"/>
                <w:sz w:val="24"/>
              </w:rPr>
            </w:pPr>
            <w:r>
              <w:rPr>
                <w:color w:val="000000"/>
                <w:sz w:val="24"/>
              </w:rPr>
              <w:t>3</w:t>
            </w:r>
            <w:r>
              <w:rPr>
                <w:rFonts w:hint="eastAsia"/>
                <w:color w:val="000000"/>
                <w:sz w:val="24"/>
              </w:rPr>
              <w:t>）</w:t>
            </w:r>
            <w:r>
              <w:rPr>
                <w:color w:val="000000"/>
                <w:sz w:val="24"/>
              </w:rPr>
              <w:t>响应产品如有属于开展国家信息安全产品认证产品范围的，须</w:t>
            </w:r>
            <w:r>
              <w:rPr>
                <w:rFonts w:hint="eastAsia"/>
                <w:color w:val="000000"/>
                <w:sz w:val="24"/>
              </w:rPr>
              <w:t>提供</w:t>
            </w:r>
            <w:r>
              <w:rPr>
                <w:color w:val="000000"/>
                <w:sz w:val="24"/>
              </w:rPr>
              <w:t>由中国网络安全审查技术与认证中心（原中国信息安全认证中心）按国家标准认证颁发的有效认证证书等）；</w:t>
            </w:r>
          </w:p>
          <w:p w14:paraId="281288B6">
            <w:pPr>
              <w:widowControl/>
              <w:jc w:val="left"/>
              <w:rPr>
                <w:b/>
                <w:bCs/>
                <w:color w:val="000000"/>
                <w:sz w:val="24"/>
              </w:rPr>
            </w:pPr>
            <w:r>
              <w:rPr>
                <w:rFonts w:hint="eastAsia"/>
                <w:sz w:val="24"/>
              </w:rPr>
              <w:t>4）</w:t>
            </w:r>
            <w:r>
              <w:rPr>
                <w:sz w:val="24"/>
              </w:rPr>
              <w:t>国家有特殊信息安全要求的项目，采购产品涉及无线局域网产品和含有无线局域网功能的计算机、通信设备、打印机、复印机、投影仪等产品的，响应产品须为符合国家无线局域网安全标准（GB 15629.11/1102）并通过国家产品认证的产品；</w:t>
            </w:r>
          </w:p>
        </w:tc>
      </w:tr>
      <w:tr w14:paraId="66EC9D7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404" w:type="dxa"/>
            <w:noWrap w:val="0"/>
            <w:vAlign w:val="center"/>
          </w:tcPr>
          <w:p w14:paraId="0BCFF1D2">
            <w:pPr>
              <w:widowControl/>
              <w:jc w:val="center"/>
              <w:rPr>
                <w:color w:val="000000"/>
                <w:sz w:val="24"/>
              </w:rPr>
            </w:pPr>
            <w:r>
              <w:rPr>
                <w:color w:val="000000"/>
                <w:sz w:val="24"/>
              </w:rPr>
              <w:t>15</w:t>
            </w:r>
          </w:p>
        </w:tc>
        <w:tc>
          <w:tcPr>
            <w:tcW w:w="976" w:type="dxa"/>
            <w:noWrap w:val="0"/>
            <w:vAlign w:val="center"/>
          </w:tcPr>
          <w:p w14:paraId="0A738FD2">
            <w:pPr>
              <w:widowControl/>
              <w:jc w:val="left"/>
              <w:rPr>
                <w:color w:val="000000"/>
                <w:sz w:val="24"/>
              </w:rPr>
            </w:pPr>
            <w:r>
              <w:rPr>
                <w:color w:val="000000"/>
                <w:sz w:val="24"/>
              </w:rPr>
              <w:t>公平竞争</w:t>
            </w:r>
          </w:p>
        </w:tc>
        <w:tc>
          <w:tcPr>
            <w:tcW w:w="3620" w:type="dxa"/>
            <w:noWrap w:val="0"/>
            <w:vAlign w:val="center"/>
          </w:tcPr>
          <w:p w14:paraId="72803B2D">
            <w:pPr>
              <w:widowControl/>
              <w:jc w:val="left"/>
              <w:rPr>
                <w:color w:val="000000"/>
                <w:sz w:val="24"/>
              </w:rPr>
            </w:pPr>
            <w:r>
              <w:rPr>
                <w:color w:val="000000"/>
                <w:sz w:val="24"/>
              </w:rPr>
              <w:t>供应商遵循公平竞争的原则，不存在恶意串通，妨碍其他供应商的竞争行为，不存在损害采购人或者其他供应商的合法权益情形的；</w:t>
            </w:r>
          </w:p>
        </w:tc>
      </w:tr>
      <w:tr w14:paraId="1C1F92B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404" w:type="dxa"/>
            <w:noWrap w:val="0"/>
            <w:vAlign w:val="center"/>
          </w:tcPr>
          <w:p w14:paraId="282204C0">
            <w:pPr>
              <w:widowControl/>
              <w:jc w:val="center"/>
              <w:rPr>
                <w:color w:val="000000"/>
                <w:sz w:val="24"/>
              </w:rPr>
            </w:pPr>
            <w:r>
              <w:rPr>
                <w:color w:val="000000"/>
                <w:sz w:val="24"/>
              </w:rPr>
              <w:t>16</w:t>
            </w:r>
          </w:p>
        </w:tc>
        <w:tc>
          <w:tcPr>
            <w:tcW w:w="976" w:type="dxa"/>
            <w:noWrap w:val="0"/>
            <w:vAlign w:val="center"/>
          </w:tcPr>
          <w:p w14:paraId="2E0EDBAB">
            <w:pPr>
              <w:widowControl/>
              <w:jc w:val="left"/>
              <w:rPr>
                <w:color w:val="000000"/>
                <w:sz w:val="24"/>
              </w:rPr>
            </w:pPr>
            <w:r>
              <w:rPr>
                <w:color w:val="000000"/>
                <w:sz w:val="24"/>
              </w:rPr>
              <w:t>串通响应</w:t>
            </w:r>
          </w:p>
        </w:tc>
        <w:tc>
          <w:tcPr>
            <w:tcW w:w="3620" w:type="dxa"/>
            <w:noWrap w:val="0"/>
            <w:vAlign w:val="center"/>
          </w:tcPr>
          <w:p w14:paraId="1A708249">
            <w:pPr>
              <w:widowControl/>
              <w:jc w:val="left"/>
              <w:rPr>
                <w:color w:val="000000"/>
                <w:sz w:val="24"/>
              </w:rPr>
            </w:pPr>
            <w:r>
              <w:rPr>
                <w:rFonts w:hint="eastAsia"/>
                <w:color w:val="000000"/>
                <w:sz w:val="24"/>
              </w:rPr>
              <w:t>不存在《政府采购货物和服务招标响应管理办法》视为供应商串通响应的情形：（一）不同供应商的响应文件由同一单位或者个人编制</w:t>
            </w:r>
            <w:r>
              <w:rPr>
                <w:rFonts w:hint="eastAsia" w:ascii="宋体" w:hAnsi="宋体"/>
                <w:sz w:val="24"/>
              </w:rPr>
              <w:t>（包含使用同一MAC地址的计算机制作电子响应文件的情形）</w:t>
            </w:r>
            <w:r>
              <w:rPr>
                <w:rFonts w:hint="eastAsia"/>
                <w:color w:val="000000"/>
                <w:sz w:val="24"/>
              </w:rPr>
              <w:t>；（二）不同供应商委托同一单位或者个人办理响应事宜</w:t>
            </w:r>
            <w:r>
              <w:rPr>
                <w:rFonts w:hint="eastAsia" w:ascii="宋体" w:hAnsi="宋体"/>
                <w:sz w:val="24"/>
              </w:rPr>
              <w:t>（包含使用同一MAC地址的计算机提交或者解密电子响应文件的情形）</w:t>
            </w:r>
            <w:r>
              <w:rPr>
                <w:rFonts w:hint="eastAsia"/>
                <w:color w:val="000000"/>
                <w:sz w:val="24"/>
              </w:rPr>
              <w:t>；（三）不同供应商的响应文件载明的项目管理成员或者联系人员为同一人；（四）不同供应商的响应文件异常一致或者响应报价呈规律 性差异；（五）不同供应商的响应文件相互混装；（六）不同供应商的响应保证金从同一单位或者个人的账户转出</w:t>
            </w:r>
            <w:r>
              <w:rPr>
                <w:color w:val="000000"/>
                <w:sz w:val="24"/>
              </w:rPr>
              <w:t>；</w:t>
            </w:r>
          </w:p>
        </w:tc>
      </w:tr>
      <w:tr w14:paraId="4E7743B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404" w:type="dxa"/>
            <w:noWrap w:val="0"/>
            <w:vAlign w:val="center"/>
          </w:tcPr>
          <w:p w14:paraId="55754A5D">
            <w:pPr>
              <w:widowControl/>
              <w:jc w:val="center"/>
              <w:rPr>
                <w:color w:val="000000"/>
                <w:sz w:val="24"/>
              </w:rPr>
            </w:pPr>
            <w:r>
              <w:rPr>
                <w:color w:val="000000"/>
                <w:sz w:val="24"/>
              </w:rPr>
              <w:t>17</w:t>
            </w:r>
          </w:p>
        </w:tc>
        <w:tc>
          <w:tcPr>
            <w:tcW w:w="976" w:type="dxa"/>
            <w:noWrap w:val="0"/>
            <w:vAlign w:val="center"/>
          </w:tcPr>
          <w:p w14:paraId="1FAE8BF6">
            <w:pPr>
              <w:widowControl/>
              <w:jc w:val="left"/>
              <w:rPr>
                <w:color w:val="000000"/>
                <w:sz w:val="24"/>
              </w:rPr>
            </w:pPr>
            <w:r>
              <w:rPr>
                <w:color w:val="000000"/>
                <w:sz w:val="24"/>
              </w:rPr>
              <w:t>附加条件</w:t>
            </w:r>
          </w:p>
        </w:tc>
        <w:tc>
          <w:tcPr>
            <w:tcW w:w="3620" w:type="dxa"/>
            <w:noWrap w:val="0"/>
            <w:vAlign w:val="center"/>
          </w:tcPr>
          <w:p w14:paraId="2EFCF3AE">
            <w:pPr>
              <w:widowControl/>
              <w:jc w:val="left"/>
              <w:rPr>
                <w:color w:val="000000"/>
                <w:sz w:val="24"/>
              </w:rPr>
            </w:pPr>
            <w:r>
              <w:rPr>
                <w:color w:val="000000"/>
                <w:sz w:val="24"/>
              </w:rPr>
              <w:t>响应文件</w:t>
            </w:r>
            <w:r>
              <w:rPr>
                <w:rFonts w:hint="eastAsia"/>
                <w:color w:val="000000"/>
                <w:sz w:val="24"/>
              </w:rPr>
              <w:t>未</w:t>
            </w:r>
            <w:r>
              <w:rPr>
                <w:color w:val="000000"/>
                <w:sz w:val="24"/>
              </w:rPr>
              <w:t>含有采购人不能接受的附加条件的；</w:t>
            </w:r>
          </w:p>
        </w:tc>
      </w:tr>
      <w:tr w14:paraId="121DE74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5" w:hRule="atLeast"/>
          <w:jc w:val="center"/>
        </w:trPr>
        <w:tc>
          <w:tcPr>
            <w:tcW w:w="404" w:type="dxa"/>
            <w:noWrap w:val="0"/>
            <w:vAlign w:val="center"/>
          </w:tcPr>
          <w:p w14:paraId="2CE469BD">
            <w:pPr>
              <w:widowControl/>
              <w:jc w:val="center"/>
              <w:rPr>
                <w:color w:val="000000"/>
                <w:sz w:val="24"/>
              </w:rPr>
            </w:pPr>
            <w:r>
              <w:rPr>
                <w:rFonts w:hint="eastAsia"/>
                <w:color w:val="000000"/>
                <w:sz w:val="24"/>
              </w:rPr>
              <w:t>1</w:t>
            </w:r>
            <w:r>
              <w:rPr>
                <w:color w:val="000000"/>
                <w:sz w:val="24"/>
              </w:rPr>
              <w:t>8</w:t>
            </w:r>
          </w:p>
        </w:tc>
        <w:tc>
          <w:tcPr>
            <w:tcW w:w="976" w:type="dxa"/>
            <w:noWrap w:val="0"/>
            <w:vAlign w:val="center"/>
          </w:tcPr>
          <w:p w14:paraId="12631605">
            <w:pPr>
              <w:widowControl/>
              <w:jc w:val="left"/>
              <w:rPr>
                <w:color w:val="000000"/>
                <w:sz w:val="24"/>
              </w:rPr>
            </w:pPr>
            <w:r>
              <w:rPr>
                <w:color w:val="000000"/>
                <w:sz w:val="24"/>
              </w:rPr>
              <w:t>其他无效情形</w:t>
            </w:r>
          </w:p>
        </w:tc>
        <w:tc>
          <w:tcPr>
            <w:tcW w:w="3620" w:type="dxa"/>
            <w:noWrap w:val="0"/>
            <w:vAlign w:val="center"/>
          </w:tcPr>
          <w:p w14:paraId="35BDE961">
            <w:pPr>
              <w:widowControl/>
              <w:jc w:val="left"/>
              <w:rPr>
                <w:rFonts w:hint="eastAsia"/>
                <w:color w:val="000000"/>
                <w:sz w:val="24"/>
              </w:rPr>
            </w:pPr>
            <w:r>
              <w:rPr>
                <w:rFonts w:hint="eastAsia"/>
                <w:color w:val="000000"/>
                <w:sz w:val="24"/>
              </w:rPr>
              <w:t>1、响应文件的已标价工程量清单与单一来源文件中规定的暂估价、暂列金额及甲供材料价格不一致的；</w:t>
            </w:r>
          </w:p>
          <w:p w14:paraId="26191ED8">
            <w:pPr>
              <w:widowControl/>
              <w:jc w:val="left"/>
              <w:rPr>
                <w:rFonts w:hint="eastAsia"/>
                <w:color w:val="000000"/>
                <w:sz w:val="24"/>
              </w:rPr>
            </w:pPr>
            <w:r>
              <w:rPr>
                <w:rFonts w:hint="eastAsia"/>
                <w:color w:val="000000"/>
                <w:sz w:val="24"/>
              </w:rPr>
              <w:t>2、响应文件的已标价工程量清单与单一来源文件中明确列出的不可竞争费用项目或费率或计算基础不一致的；</w:t>
            </w:r>
          </w:p>
          <w:p w14:paraId="379FE005">
            <w:pPr>
              <w:widowControl/>
              <w:jc w:val="left"/>
              <w:rPr>
                <w:rFonts w:hint="eastAsia"/>
                <w:color w:val="000000"/>
                <w:sz w:val="24"/>
              </w:rPr>
            </w:pPr>
            <w:r>
              <w:rPr>
                <w:rFonts w:hint="eastAsia"/>
                <w:color w:val="000000"/>
                <w:sz w:val="24"/>
              </w:rPr>
              <w:t>3、响应文件的已标价工程量清单与单一来源文件中提供的工程量清单中的项目编码、项目名称、项目特征、计量单位、工程量不一致的；</w:t>
            </w:r>
          </w:p>
          <w:p w14:paraId="2D7228B6">
            <w:pPr>
              <w:widowControl/>
              <w:jc w:val="left"/>
              <w:rPr>
                <w:color w:val="000000"/>
                <w:sz w:val="24"/>
              </w:rPr>
            </w:pPr>
            <w:r>
              <w:rPr>
                <w:rFonts w:hint="eastAsia"/>
                <w:color w:val="000000"/>
                <w:sz w:val="24"/>
              </w:rPr>
              <w:t>4、供应商、响应文件不存在不符合法律、法规和单一来源文件规定的其他无效情形。</w:t>
            </w:r>
          </w:p>
        </w:tc>
      </w:tr>
    </w:tbl>
    <w:p w14:paraId="3D4C27DC">
      <w:pPr>
        <w:widowControl/>
        <w:jc w:val="left"/>
        <w:rPr>
          <w:sz w:val="24"/>
        </w:rPr>
      </w:pPr>
      <w:r>
        <w:rPr>
          <w:sz w:val="24"/>
        </w:rPr>
        <w:br w:type="page" w:clear="all"/>
      </w:r>
    </w:p>
    <w:p w14:paraId="5867C731">
      <w:pPr>
        <w:numPr>
          <w:ilvl w:val="0"/>
          <w:numId w:val="12"/>
        </w:numPr>
        <w:tabs>
          <w:tab w:val="left" w:pos="360"/>
        </w:tabs>
        <w:spacing w:line="360" w:lineRule="auto"/>
        <w:outlineLvl w:val="1"/>
        <w:rPr>
          <w:sz w:val="24"/>
        </w:rPr>
      </w:pPr>
      <w:r>
        <w:rPr>
          <w:sz w:val="24"/>
        </w:rPr>
        <w:t>响应文件有关事项的澄清、说明或更正</w:t>
      </w:r>
    </w:p>
    <w:p w14:paraId="6FEB14E7">
      <w:pPr>
        <w:numPr>
          <w:ilvl w:val="1"/>
          <w:numId w:val="13"/>
        </w:numPr>
        <w:tabs>
          <w:tab w:val="left" w:pos="1080"/>
          <w:tab w:val="left" w:pos="2014"/>
        </w:tabs>
        <w:spacing w:line="360" w:lineRule="auto"/>
        <w:ind w:left="1077" w:hanging="720"/>
        <w:rPr>
          <w:sz w:val="24"/>
        </w:rPr>
      </w:pPr>
      <w:r>
        <w:rPr>
          <w:sz w:val="24"/>
        </w:rPr>
        <w:t>单一来源采购人员在对响应文件的有效性、完整性和响应程度进行审查时，可以要求供应商作出必要的澄清、说明或者更正。</w:t>
      </w:r>
    </w:p>
    <w:p w14:paraId="4F79F8E6">
      <w:pPr>
        <w:numPr>
          <w:ilvl w:val="1"/>
          <w:numId w:val="13"/>
        </w:numPr>
        <w:tabs>
          <w:tab w:val="left" w:pos="1080"/>
          <w:tab w:val="left" w:pos="2014"/>
        </w:tabs>
        <w:spacing w:line="360" w:lineRule="auto"/>
        <w:ind w:left="1077" w:hanging="720"/>
        <w:rPr>
          <w:sz w:val="24"/>
        </w:rPr>
      </w:pPr>
      <w:r>
        <w:rPr>
          <w:sz w:val="24"/>
        </w:rPr>
        <w:t>单一来源采购人员对响应文件进行审查，如发现供应商提交的响应文件存在不满足《资格审查要求》和《符合性审查要求》的内容，如属于表中“不允许”澄清、说明或者更正的内容，则供应商响应文件按</w:t>
      </w:r>
      <w:r>
        <w:rPr>
          <w:b/>
          <w:sz w:val="24"/>
        </w:rPr>
        <w:t>无效</w:t>
      </w:r>
      <w:r>
        <w:rPr>
          <w:sz w:val="24"/>
        </w:rPr>
        <w:t>处理；如属于表中的“允许”澄清、说明或更正的内容，单一来源采购人员将要求供应商在规定的时间内对响应文件进行澄清、说明或者补正。如供应商在单一来源采购人员规定的时间内未作出必要的澄清、说明或者更正，或澄清、说明或者更正后仍不能满足单一来源采购文件要求的，则供应商的响应文件按</w:t>
      </w:r>
      <w:r>
        <w:rPr>
          <w:b/>
          <w:sz w:val="24"/>
        </w:rPr>
        <w:t>无效</w:t>
      </w:r>
      <w:r>
        <w:rPr>
          <w:sz w:val="24"/>
        </w:rPr>
        <w:t>处理。</w:t>
      </w:r>
    </w:p>
    <w:p w14:paraId="72B8745C">
      <w:pPr>
        <w:numPr>
          <w:ilvl w:val="1"/>
          <w:numId w:val="13"/>
        </w:numPr>
        <w:tabs>
          <w:tab w:val="left" w:pos="1080"/>
          <w:tab w:val="left" w:pos="2014"/>
        </w:tabs>
        <w:spacing w:line="360" w:lineRule="auto"/>
        <w:ind w:left="1077" w:hanging="720"/>
        <w:rPr>
          <w:sz w:val="24"/>
        </w:rPr>
      </w:pPr>
      <w:r>
        <w:rPr>
          <w:sz w:val="24"/>
        </w:rPr>
        <w:t>单一来源采购人员要求供应商澄清、说明或者补正响应文件应当以书面形式作出。供应商的澄清、说明或者补正应当由法定代表人或其授权代表签字或者加盖公章。由授权代表签字的，应当附授权委托书。供应商为自然人的，应当由本人签字并附身份证明。澄清、说明或者补正文件将作为响应文件内容的一部分。</w:t>
      </w:r>
    </w:p>
    <w:p w14:paraId="2D0EA7FD">
      <w:pPr>
        <w:numPr>
          <w:ilvl w:val="0"/>
          <w:numId w:val="12"/>
        </w:numPr>
        <w:tabs>
          <w:tab w:val="left" w:pos="360"/>
        </w:tabs>
        <w:spacing w:line="360" w:lineRule="auto"/>
        <w:outlineLvl w:val="1"/>
        <w:rPr>
          <w:sz w:val="24"/>
        </w:rPr>
      </w:pPr>
      <w:r>
        <w:rPr>
          <w:sz w:val="24"/>
        </w:rPr>
        <w:t>商定合理价格</w:t>
      </w:r>
    </w:p>
    <w:p w14:paraId="0FA6DD35">
      <w:pPr>
        <w:pStyle w:val="281"/>
        <w:numPr>
          <w:ilvl w:val="0"/>
          <w:numId w:val="13"/>
        </w:numPr>
        <w:tabs>
          <w:tab w:val="left" w:pos="1080"/>
          <w:tab w:val="left" w:pos="5133"/>
        </w:tabs>
        <w:spacing w:line="360" w:lineRule="auto"/>
        <w:rPr>
          <w:rFonts w:ascii="Times New Roman" w:hAnsi="Times New Roman"/>
          <w:vanish/>
          <w:sz w:val="24"/>
          <w:szCs w:val="24"/>
        </w:rPr>
      </w:pPr>
    </w:p>
    <w:p w14:paraId="07B7B061">
      <w:pPr>
        <w:numPr>
          <w:ilvl w:val="1"/>
          <w:numId w:val="13"/>
        </w:numPr>
        <w:tabs>
          <w:tab w:val="left" w:pos="1080"/>
          <w:tab w:val="left" w:pos="2014"/>
        </w:tabs>
        <w:spacing w:line="360" w:lineRule="auto"/>
        <w:ind w:left="1077" w:hanging="720"/>
        <w:rPr>
          <w:sz w:val="24"/>
        </w:rPr>
      </w:pPr>
      <w:r>
        <w:rPr>
          <w:sz w:val="24"/>
        </w:rPr>
        <w:t>单一来源采购人员与供应商商定合理的价格并保证采购项目质量。单一来源采购人员应当编写协商情况记录。</w:t>
      </w:r>
    </w:p>
    <w:p w14:paraId="757EA28F">
      <w:pPr>
        <w:numPr>
          <w:ilvl w:val="1"/>
          <w:numId w:val="13"/>
        </w:numPr>
        <w:tabs>
          <w:tab w:val="left" w:pos="1080"/>
          <w:tab w:val="left" w:pos="2014"/>
        </w:tabs>
        <w:spacing w:line="240" w:lineRule="auto"/>
        <w:ind w:left="0" w:firstLine="0"/>
        <w:rPr>
          <w:sz w:val="24"/>
        </w:rPr>
      </w:pPr>
      <w:r>
        <w:rPr>
          <w:rFonts w:hint="eastAsia"/>
          <w:sz w:val="24"/>
          <w:lang w:val="en-US" w:eastAsia="zh-CN"/>
        </w:rPr>
        <w:t>评标委员会应针对投标文件进行政府采购异常低价审查：</w:t>
      </w:r>
      <w:r>
        <w:rPr>
          <w:rFonts w:hint="eastAsia"/>
          <w:sz w:val="24"/>
          <w:lang w:val="en-US" w:eastAsia="zh-CN"/>
        </w:rPr>
        <w:br w:type="textWrapping"/>
      </w:r>
      <w:r>
        <w:rPr>
          <w:rFonts w:hint="eastAsia"/>
          <w:sz w:val="24"/>
          <w:lang w:val="en-US" w:eastAsia="zh-CN"/>
        </w:rPr>
        <w:t>（一）评审过程中出现下列情形之一的，评审委员会应当启动异常低价投标审查程序：</w:t>
      </w:r>
      <w:r>
        <w:rPr>
          <w:rFonts w:hint="eastAsia"/>
          <w:sz w:val="24"/>
          <w:lang w:val="en-US" w:eastAsia="zh-CN"/>
        </w:rPr>
        <w:br w:type="textWrapping"/>
      </w:r>
      <w:r>
        <w:rPr>
          <w:rFonts w:hint="eastAsia"/>
          <w:sz w:val="24"/>
          <w:lang w:val="en-US" w:eastAsia="zh-CN"/>
        </w:rPr>
        <w:t>（1）投标报价低于采购项目预算50%的，即投标报价&lt;采购项目预算×50% ；</w:t>
      </w:r>
      <w:r>
        <w:rPr>
          <w:rFonts w:hint="eastAsia"/>
          <w:sz w:val="24"/>
          <w:lang w:val="en-US" w:eastAsia="zh-CN"/>
        </w:rPr>
        <w:br w:type="textWrapping"/>
      </w:r>
      <w:r>
        <w:rPr>
          <w:rFonts w:hint="eastAsia"/>
          <w:sz w:val="24"/>
          <w:lang w:val="en-US" w:eastAsia="zh-CN"/>
        </w:rPr>
        <w:t>（2）投标报价低于采购项目最高限价45%的，即投标报价&lt;采购项目最高限价×45% ；</w:t>
      </w:r>
      <w:r>
        <w:rPr>
          <w:rFonts w:hint="eastAsia"/>
          <w:sz w:val="24"/>
          <w:lang w:val="en-US" w:eastAsia="zh-CN"/>
        </w:rPr>
        <w:br w:type="textWrapping"/>
      </w:r>
      <w:r>
        <w:rPr>
          <w:rFonts w:hint="eastAsia"/>
          <w:sz w:val="24"/>
          <w:lang w:val="en-US" w:eastAsia="zh-CN"/>
        </w:rPr>
        <w:t>（3）评标委员会认定的供应商报价过低、有可能影响产品质量或者不能诚信履约的其他情形。</w:t>
      </w:r>
    </w:p>
    <w:p w14:paraId="20E661C6">
      <w:pPr>
        <w:numPr>
          <w:ilvl w:val="0"/>
          <w:numId w:val="0"/>
        </w:numPr>
        <w:tabs>
          <w:tab w:val="left" w:pos="1080"/>
          <w:tab w:val="left" w:pos="2014"/>
        </w:tabs>
        <w:spacing w:line="240" w:lineRule="auto"/>
        <w:ind w:leftChars="0"/>
        <w:rPr>
          <w:sz w:val="24"/>
        </w:rPr>
      </w:pPr>
      <w:r>
        <w:rPr>
          <w:rFonts w:hint="eastAsia"/>
          <w:sz w:val="24"/>
          <w:lang w:val="en-US" w:eastAsia="zh-CN"/>
        </w:rPr>
        <w:t>（二）启动异常低价投标审查后，评标委员会应当要求相关供应商在评标现场合理的时间内，提供项目具体成本测算等与报价合理性相关的书面说明及相关证明材料，对投标价格作出解释，由评标委员会结合同类产品在主要电商平台的价格、该行业当地薪资水平等情况，依据专业经验对供应商报价合理性进行判断。投标供应商不提供书面说明、证明材料，或者提供的书面说明、证明材料不能证明其报价合理性的，评标委员会应当将其作为无效投标文件处理。审查相关情况应当在评审报告中进行记录。</w:t>
      </w:r>
    </w:p>
    <w:p w14:paraId="28815C4A">
      <w:pPr>
        <w:numPr>
          <w:ilvl w:val="0"/>
          <w:numId w:val="12"/>
        </w:numPr>
        <w:tabs>
          <w:tab w:val="left" w:pos="360"/>
        </w:tabs>
        <w:spacing w:line="360" w:lineRule="auto"/>
        <w:outlineLvl w:val="1"/>
        <w:rPr>
          <w:sz w:val="24"/>
        </w:rPr>
      </w:pPr>
      <w:r>
        <w:rPr>
          <w:sz w:val="24"/>
        </w:rPr>
        <w:t>报告违法行为</w:t>
      </w:r>
    </w:p>
    <w:p w14:paraId="08309D28">
      <w:pPr>
        <w:pStyle w:val="281"/>
        <w:numPr>
          <w:ilvl w:val="0"/>
          <w:numId w:val="13"/>
        </w:numPr>
        <w:tabs>
          <w:tab w:val="left" w:pos="1080"/>
          <w:tab w:val="left" w:pos="5133"/>
        </w:tabs>
        <w:spacing w:line="360" w:lineRule="auto"/>
        <w:rPr>
          <w:rFonts w:ascii="Times New Roman" w:hAnsi="Times New Roman"/>
          <w:vanish/>
          <w:sz w:val="24"/>
          <w:szCs w:val="24"/>
        </w:rPr>
      </w:pPr>
    </w:p>
    <w:p w14:paraId="7C587E41">
      <w:pPr>
        <w:numPr>
          <w:ilvl w:val="1"/>
          <w:numId w:val="13"/>
        </w:numPr>
        <w:tabs>
          <w:tab w:val="left" w:pos="1080"/>
          <w:tab w:val="left" w:pos="2014"/>
        </w:tabs>
        <w:spacing w:line="360" w:lineRule="auto"/>
        <w:ind w:left="1077" w:hanging="720"/>
        <w:rPr>
          <w:sz w:val="24"/>
        </w:rPr>
      </w:pPr>
      <w:r>
        <w:rPr>
          <w:sz w:val="24"/>
        </w:rPr>
        <w:t>单一来源采购人员在评审过程中发现供应商有行贿、提供虚假材料或者串通等违法行为时，有向采购人、采购代理机构或者有关部门报告的职责。</w:t>
      </w:r>
    </w:p>
    <w:p w14:paraId="4B3B5F17">
      <w:pPr>
        <w:tabs>
          <w:tab w:val="left" w:pos="1080"/>
          <w:tab w:val="left" w:pos="5133"/>
        </w:tabs>
        <w:spacing w:line="360" w:lineRule="auto"/>
        <w:rPr>
          <w:sz w:val="24"/>
        </w:rPr>
        <w:sectPr>
          <w:headerReference r:id="rId10" w:type="first"/>
          <w:footerReference r:id="rId12" w:type="first"/>
          <w:headerReference r:id="rId9" w:type="even"/>
          <w:footerReference r:id="rId11" w:type="even"/>
          <w:pgSz w:w="11907" w:h="16840"/>
          <w:pgMar w:top="1418" w:right="1134" w:bottom="1418" w:left="1701" w:header="851" w:footer="851" w:gutter="0"/>
          <w:cols w:space="1701" w:num="1"/>
          <w:docGrid w:linePitch="360" w:charSpace="0"/>
        </w:sectPr>
      </w:pPr>
    </w:p>
    <w:p w14:paraId="720A9247">
      <w:pPr>
        <w:widowControl/>
        <w:jc w:val="left"/>
        <w:rPr>
          <w:b/>
          <w:sz w:val="36"/>
          <w:szCs w:val="36"/>
        </w:rPr>
      </w:pPr>
      <w:bookmarkStart w:id="639" w:name="_Toc150480793"/>
      <w:bookmarkStart w:id="640" w:name="_Toc305158897"/>
      <w:bookmarkStart w:id="641" w:name="_Toc305158823"/>
      <w:bookmarkStart w:id="642" w:name="_Toc150774760"/>
      <w:bookmarkStart w:id="643" w:name="_Toc265228393"/>
      <w:bookmarkStart w:id="644" w:name="_Toc264969245"/>
      <w:bookmarkStart w:id="645" w:name="_Toc353873665"/>
      <w:bookmarkStart w:id="646" w:name="_Toc353873935"/>
      <w:bookmarkStart w:id="647" w:name="_Toc142311057"/>
      <w:bookmarkStart w:id="648" w:name="_Toc226337251"/>
      <w:bookmarkStart w:id="649" w:name="_Toc195842920"/>
      <w:bookmarkStart w:id="650" w:name="_Toc127151555"/>
      <w:bookmarkStart w:id="651" w:name="_Toc226965828"/>
      <w:bookmarkStart w:id="652" w:name="_Toc353825545"/>
    </w:p>
    <w:p w14:paraId="44B594B3">
      <w:pPr>
        <w:spacing w:line="360" w:lineRule="auto"/>
        <w:jc w:val="center"/>
        <w:outlineLvl w:val="0"/>
        <w:rPr>
          <w:rFonts w:hint="eastAsia" w:ascii="宋体" w:hAnsi="宋体" w:eastAsia="宋体" w:cs="宋体"/>
          <w:b/>
          <w:sz w:val="24"/>
          <w:szCs w:val="24"/>
        </w:rPr>
      </w:pPr>
      <w:bookmarkStart w:id="653" w:name="_Toc99301282"/>
      <w:r>
        <w:rPr>
          <w:b/>
          <w:sz w:val="36"/>
          <w:szCs w:val="36"/>
        </w:rPr>
        <w:t>第四章   采购需求</w:t>
      </w:r>
      <w:bookmarkEnd w:id="653"/>
    </w:p>
    <w:p w14:paraId="709778F3">
      <w:pPr>
        <w:pStyle w:val="443"/>
        <w:numPr>
          <w:ilvl w:val="0"/>
          <w:numId w:val="0"/>
        </w:numPr>
        <w:spacing w:line="360" w:lineRule="auto"/>
        <w:ind w:leftChars="0"/>
        <w:contextualSpacing/>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eastAsia="zh-CN"/>
        </w:rPr>
        <w:t>一、</w:t>
      </w:r>
      <w:r>
        <w:rPr>
          <w:rFonts w:hint="eastAsia" w:ascii="宋体" w:hAnsi="宋体" w:eastAsia="宋体" w:cs="宋体"/>
          <w:b/>
          <w:color w:val="auto"/>
          <w:sz w:val="24"/>
          <w:szCs w:val="24"/>
          <w:highlight w:val="none"/>
        </w:rPr>
        <w:t>采购标的</w:t>
      </w:r>
    </w:p>
    <w:p w14:paraId="1D2C207C">
      <w:pPr>
        <w:widowControl w:val="0"/>
        <w:spacing w:before="0" w:after="120" w:line="240" w:lineRule="auto"/>
        <w:ind w:firstLine="210"/>
        <w:jc w:val="left"/>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1．项目名称：</w:t>
      </w:r>
      <w:r>
        <w:rPr>
          <w:rFonts w:hint="eastAsia" w:ascii="宋体" w:hAnsi="宋体" w:cs="宋体"/>
          <w:color w:val="auto"/>
          <w:kern w:val="2"/>
          <w:sz w:val="24"/>
          <w:szCs w:val="24"/>
          <w:highlight w:val="none"/>
          <w:lang w:val="en-US" w:eastAsia="zh-CN" w:bidi="ar-SA"/>
        </w:rPr>
        <w:t>儒林镇集中供养特困对象养老护理服务项目</w:t>
      </w:r>
    </w:p>
    <w:p w14:paraId="12927E01">
      <w:pPr>
        <w:widowControl w:val="0"/>
        <w:spacing w:before="0" w:after="120" w:line="240" w:lineRule="auto"/>
        <w:ind w:firstLine="210"/>
        <w:jc w:val="left"/>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2．预算金额：3</w:t>
      </w:r>
      <w:r>
        <w:rPr>
          <w:rFonts w:hint="eastAsia" w:ascii="宋体" w:hAnsi="宋体" w:cs="宋体"/>
          <w:color w:val="auto"/>
          <w:kern w:val="2"/>
          <w:sz w:val="24"/>
          <w:szCs w:val="24"/>
          <w:highlight w:val="none"/>
          <w:lang w:val="en-US" w:eastAsia="zh-CN" w:bidi="ar-SA"/>
        </w:rPr>
        <w:t>75</w:t>
      </w:r>
      <w:r>
        <w:rPr>
          <w:rFonts w:hint="eastAsia" w:ascii="宋体" w:hAnsi="宋体" w:eastAsia="宋体" w:cs="宋体"/>
          <w:color w:val="auto"/>
          <w:kern w:val="2"/>
          <w:sz w:val="24"/>
          <w:szCs w:val="24"/>
          <w:highlight w:val="none"/>
          <w:lang w:val="en-US" w:eastAsia="zh-CN" w:bidi="ar-SA"/>
        </w:rPr>
        <w:t>万元</w:t>
      </w:r>
    </w:p>
    <w:p w14:paraId="48D2DC0B">
      <w:pPr>
        <w:widowControl w:val="0"/>
        <w:spacing w:before="0" w:after="120" w:line="240" w:lineRule="auto"/>
        <w:ind w:firstLine="210"/>
        <w:jc w:val="left"/>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3．最高限价：</w:t>
      </w:r>
      <w:r>
        <w:rPr>
          <w:rFonts w:hint="eastAsia" w:ascii="宋体" w:hAnsi="宋体" w:cs="宋体"/>
          <w:color w:val="auto"/>
          <w:kern w:val="2"/>
          <w:sz w:val="24"/>
          <w:szCs w:val="24"/>
          <w:highlight w:val="none"/>
          <w:lang w:val="en-US" w:eastAsia="zh-CN" w:bidi="ar-SA"/>
        </w:rPr>
        <w:t>1250000</w:t>
      </w:r>
      <w:r>
        <w:rPr>
          <w:rFonts w:hint="eastAsia" w:ascii="宋体" w:hAnsi="宋体" w:eastAsia="宋体" w:cs="宋体"/>
          <w:color w:val="auto"/>
          <w:kern w:val="2"/>
          <w:sz w:val="24"/>
          <w:szCs w:val="24"/>
          <w:highlight w:val="none"/>
          <w:lang w:val="en-US" w:eastAsia="zh-CN" w:bidi="ar-SA"/>
        </w:rPr>
        <w:t>元</w:t>
      </w:r>
      <w:r>
        <w:rPr>
          <w:rFonts w:hint="eastAsia" w:ascii="宋体" w:hAnsi="宋体" w:cs="宋体"/>
          <w:color w:val="auto"/>
          <w:kern w:val="2"/>
          <w:sz w:val="24"/>
          <w:szCs w:val="24"/>
          <w:highlight w:val="none"/>
          <w:lang w:val="en-US" w:eastAsia="zh-CN" w:bidi="ar-SA"/>
        </w:rPr>
        <w:t>/年</w:t>
      </w:r>
      <w:r>
        <w:rPr>
          <w:rFonts w:hint="eastAsia" w:ascii="宋体" w:hAnsi="宋体" w:eastAsia="宋体" w:cs="宋体"/>
          <w:color w:val="auto"/>
          <w:kern w:val="2"/>
          <w:sz w:val="24"/>
          <w:szCs w:val="24"/>
          <w:highlight w:val="none"/>
          <w:lang w:val="en-US" w:eastAsia="zh-CN" w:bidi="ar-SA"/>
        </w:rPr>
        <w:t>，投标报价超过最高限价的作无效响应文件处理</w:t>
      </w:r>
    </w:p>
    <w:p w14:paraId="0F76DB5B">
      <w:pPr>
        <w:widowControl w:val="0"/>
        <w:spacing w:before="0" w:after="120" w:line="240" w:lineRule="auto"/>
        <w:ind w:firstLine="210"/>
        <w:jc w:val="left"/>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4．采购项目概况：儒林镇集中供养特困对象养老护理</w:t>
      </w:r>
    </w:p>
    <w:p w14:paraId="09227DE2">
      <w:pPr>
        <w:widowControl w:val="0"/>
        <w:spacing w:before="0" w:after="120" w:line="240" w:lineRule="auto"/>
        <w:ind w:firstLine="210"/>
        <w:jc w:val="left"/>
        <w:rPr>
          <w:rFonts w:hint="default"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5．合同履行期限：</w:t>
      </w:r>
      <w:r>
        <w:rPr>
          <w:rFonts w:hint="eastAsia" w:ascii="宋体" w:hAnsi="宋体" w:cs="宋体"/>
          <w:color w:val="auto"/>
          <w:kern w:val="2"/>
          <w:sz w:val="24"/>
          <w:szCs w:val="24"/>
          <w:highlight w:val="none"/>
          <w:lang w:val="en-US" w:eastAsia="zh-CN" w:bidi="ar-SA"/>
        </w:rPr>
        <w:t>3年（1+1+1）模式，合同一年一签，合同期满，甲方将对乙方进行考核，考核合格可续签下一年合同；考核不合格，甲方出具书面整改意见，乙方根据考核结果进行三个月的整改，整改通过则续签，整改不通过则合同终止。</w:t>
      </w:r>
    </w:p>
    <w:p w14:paraId="0494EAC0">
      <w:pPr>
        <w:widowControl w:val="0"/>
        <w:spacing w:before="0" w:after="120" w:line="240" w:lineRule="auto"/>
        <w:ind w:firstLine="210"/>
        <w:jc w:val="left"/>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6．是/否接受联合体投标：否</w:t>
      </w:r>
    </w:p>
    <w:p w14:paraId="4E6BBF9F">
      <w:pPr>
        <w:widowControl w:val="0"/>
        <w:spacing w:before="0" w:after="120" w:line="240" w:lineRule="auto"/>
        <w:ind w:firstLine="210"/>
        <w:jc w:val="left"/>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7．是/否接受分支机构参与响应：否</w:t>
      </w:r>
    </w:p>
    <w:p w14:paraId="65299644">
      <w:pPr>
        <w:widowControl w:val="0"/>
        <w:spacing w:before="0" w:after="120" w:line="240" w:lineRule="auto"/>
        <w:ind w:firstLine="210"/>
        <w:jc w:val="left"/>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8．是/否属于政府购买服务：是</w:t>
      </w:r>
    </w:p>
    <w:p w14:paraId="2AA137F1">
      <w:pPr>
        <w:widowControl w:val="0"/>
        <w:spacing w:before="0" w:after="120" w:line="240" w:lineRule="auto"/>
        <w:ind w:firstLine="210"/>
        <w:jc w:val="left"/>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9．是/否接受进口产品投标：否</w:t>
      </w:r>
    </w:p>
    <w:p w14:paraId="43247730">
      <w:pPr>
        <w:widowControl w:val="0"/>
        <w:spacing w:before="0" w:after="120" w:line="240" w:lineRule="auto"/>
        <w:ind w:firstLine="210"/>
        <w:jc w:val="left"/>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10．是/否专门面向中小企业预留采购份额：是</w:t>
      </w:r>
    </w:p>
    <w:p w14:paraId="1CC07C54">
      <w:pPr>
        <w:widowControl w:val="0"/>
        <w:spacing w:before="0" w:after="120" w:line="240" w:lineRule="auto"/>
        <w:ind w:firstLine="210"/>
        <w:jc w:val="left"/>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11．本项目的特定资格要求：无</w:t>
      </w:r>
    </w:p>
    <w:p w14:paraId="40A2AEA1">
      <w:pPr>
        <w:widowControl w:val="0"/>
        <w:spacing w:before="0" w:after="120" w:line="240" w:lineRule="auto"/>
        <w:ind w:firstLine="210"/>
        <w:jc w:val="left"/>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12．项目类别：服务类</w:t>
      </w:r>
    </w:p>
    <w:p w14:paraId="3287C1B9">
      <w:pPr>
        <w:pStyle w:val="443"/>
        <w:numPr>
          <w:ilvl w:val="0"/>
          <w:numId w:val="0"/>
        </w:numPr>
        <w:spacing w:line="360" w:lineRule="auto"/>
        <w:ind w:leftChars="0"/>
        <w:contextualSpacing/>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eastAsia="zh-CN"/>
        </w:rPr>
        <w:t>二、</w:t>
      </w:r>
      <w:r>
        <w:rPr>
          <w:rFonts w:hint="eastAsia" w:ascii="宋体" w:hAnsi="宋体" w:eastAsia="宋体" w:cs="宋体"/>
          <w:b/>
          <w:color w:val="auto"/>
          <w:sz w:val="24"/>
          <w:szCs w:val="24"/>
          <w:highlight w:val="none"/>
        </w:rPr>
        <w:t>商务要求</w:t>
      </w:r>
    </w:p>
    <w:p w14:paraId="1E349A35">
      <w:pPr>
        <w:spacing w:line="360" w:lineRule="auto"/>
        <w:ind w:firstLine="480" w:firstLineChars="200"/>
        <w:contextualSpacing/>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1. 合同履行期限：</w:t>
      </w:r>
      <w:r>
        <w:rPr>
          <w:rFonts w:hint="eastAsia" w:ascii="宋体" w:hAnsi="宋体" w:cs="宋体"/>
          <w:color w:val="auto"/>
          <w:kern w:val="2"/>
          <w:sz w:val="24"/>
          <w:szCs w:val="24"/>
          <w:highlight w:val="none"/>
          <w:lang w:val="en-US" w:eastAsia="zh-CN" w:bidi="ar-SA"/>
        </w:rPr>
        <w:t>3年（1+1+1）模式，合同一年一签，合同期满，甲方将对乙方进行考核，考核合格可续签下一年合同；考核不合格，甲方出具书面整改意见，乙方根据考核结果进行三个月的整改，整改通过则续签，整改不通过则合同终止</w:t>
      </w:r>
      <w:r>
        <w:rPr>
          <w:rFonts w:hint="eastAsia" w:ascii="宋体" w:hAnsi="宋体" w:eastAsia="宋体" w:cs="宋体"/>
          <w:bCs/>
          <w:color w:val="auto"/>
          <w:kern w:val="2"/>
          <w:sz w:val="24"/>
          <w:szCs w:val="24"/>
          <w:highlight w:val="none"/>
          <w:lang w:eastAsia="zh-CN"/>
        </w:rPr>
        <w:t>。</w:t>
      </w:r>
    </w:p>
    <w:p w14:paraId="72F1C0D3">
      <w:pPr>
        <w:widowControl/>
        <w:spacing w:before="0" w:beforeAutospacing="0" w:after="0" w:afterAutospacing="0" w:line="312" w:lineRule="auto"/>
        <w:ind w:firstLine="480"/>
        <w:jc w:val="left"/>
        <w:rPr>
          <w:rFonts w:hint="eastAsia" w:ascii="宋体" w:hAnsi="宋体" w:eastAsia="宋体" w:cs="宋体"/>
          <w:bCs/>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rPr>
        <w:t>2</w:t>
      </w:r>
      <w:r>
        <w:rPr>
          <w:rFonts w:hint="eastAsia" w:ascii="宋体" w:hAnsi="宋体" w:eastAsia="宋体" w:cs="宋体"/>
          <w:color w:val="auto"/>
          <w:kern w:val="2"/>
          <w:sz w:val="24"/>
          <w:szCs w:val="24"/>
          <w:highlight w:val="none"/>
          <w:lang w:val="en-US" w:eastAsia="zh-CN" w:bidi="ar-SA"/>
        </w:rPr>
        <w:t>. 付款条件：</w:t>
      </w:r>
    </w:p>
    <w:p w14:paraId="2C6D8B99">
      <w:pPr>
        <w:numPr>
          <w:ilvl w:val="0"/>
          <w:numId w:val="0"/>
        </w:numPr>
        <w:spacing w:line="360" w:lineRule="auto"/>
        <w:ind w:leftChars="0"/>
        <w:contextualSpacing/>
        <w:jc w:val="left"/>
        <w:rPr>
          <w:rFonts w:hint="eastAsia" w:ascii="宋体" w:hAnsi="宋体" w:eastAsia="宋体" w:cs="宋体"/>
          <w:b w:val="0"/>
          <w:bCs/>
          <w:color w:val="auto"/>
          <w:kern w:val="0"/>
          <w:sz w:val="24"/>
          <w:szCs w:val="24"/>
          <w:highlight w:val="none"/>
          <w:lang w:val="en-US" w:eastAsia="zh-CN"/>
        </w:rPr>
      </w:pPr>
      <w:r>
        <w:rPr>
          <w:rFonts w:hint="eastAsia" w:ascii="宋体" w:hAnsi="宋体" w:eastAsia="宋体" w:cs="宋体"/>
          <w:b w:val="0"/>
          <w:bCs/>
          <w:color w:val="auto"/>
          <w:kern w:val="0"/>
          <w:sz w:val="24"/>
          <w:szCs w:val="24"/>
          <w:highlight w:val="none"/>
          <w:lang w:val="en-US" w:eastAsia="zh-CN"/>
        </w:rPr>
        <w:t>1.甲方根据实际入住特困对象人数，每月10日前向乙方支付特困对象供养救助补贴。</w:t>
      </w:r>
    </w:p>
    <w:p w14:paraId="68CD1FC2">
      <w:pPr>
        <w:numPr>
          <w:ilvl w:val="0"/>
          <w:numId w:val="0"/>
        </w:numPr>
        <w:spacing w:line="360" w:lineRule="auto"/>
        <w:ind w:leftChars="0"/>
        <w:contextualSpacing/>
        <w:jc w:val="left"/>
        <w:rPr>
          <w:rFonts w:hint="eastAsia" w:ascii="宋体" w:hAnsi="宋体" w:eastAsia="宋体" w:cs="宋体"/>
          <w:b w:val="0"/>
          <w:bCs/>
          <w:color w:val="auto"/>
          <w:kern w:val="0"/>
          <w:sz w:val="24"/>
          <w:szCs w:val="24"/>
          <w:highlight w:val="none"/>
          <w:lang w:val="en-US" w:eastAsia="zh-CN"/>
        </w:rPr>
      </w:pPr>
      <w:r>
        <w:rPr>
          <w:rFonts w:hint="eastAsia" w:ascii="宋体" w:hAnsi="宋体" w:eastAsia="宋体" w:cs="宋体"/>
          <w:b w:val="0"/>
          <w:bCs/>
          <w:color w:val="auto"/>
          <w:kern w:val="0"/>
          <w:sz w:val="24"/>
          <w:szCs w:val="24"/>
          <w:highlight w:val="none"/>
          <w:lang w:val="en-US" w:eastAsia="zh-CN"/>
        </w:rPr>
        <w:t>2.甲方根据实际入住特困对象的人数及护理等级，于次月支付上一个月的护理费用及其他费用。</w:t>
      </w:r>
    </w:p>
    <w:p w14:paraId="74D5F6D5">
      <w:pPr>
        <w:numPr>
          <w:ilvl w:val="0"/>
          <w:numId w:val="0"/>
        </w:numPr>
        <w:spacing w:line="360" w:lineRule="auto"/>
        <w:ind w:leftChars="0"/>
        <w:contextualSpacing/>
        <w:jc w:val="center"/>
        <w:rPr>
          <w:rFonts w:hint="eastAsia" w:ascii="宋体" w:hAnsi="宋体" w:eastAsia="宋体" w:cs="宋体"/>
          <w:b/>
          <w:bCs/>
          <w:color w:val="auto"/>
          <w:kern w:val="2"/>
          <w:sz w:val="24"/>
          <w:szCs w:val="24"/>
          <w:highlight w:val="none"/>
          <w:lang w:val="en-US" w:eastAsia="zh-CN"/>
        </w:rPr>
      </w:pPr>
      <w:r>
        <w:rPr>
          <w:rFonts w:hint="eastAsia" w:ascii="宋体" w:hAnsi="宋体" w:eastAsia="宋体" w:cs="宋体"/>
          <w:b/>
          <w:color w:val="auto"/>
          <w:kern w:val="0"/>
          <w:sz w:val="24"/>
          <w:szCs w:val="24"/>
          <w:highlight w:val="none"/>
          <w:lang w:val="en-US" w:eastAsia="zh-CN"/>
        </w:rPr>
        <w:t>服务内容</w:t>
      </w:r>
    </w:p>
    <w:tbl>
      <w:tblPr>
        <w:tblStyle w:val="30"/>
        <w:tblpPr w:leftFromText="180" w:rightFromText="180" w:vertAnchor="text" w:horzAnchor="margin" w:tblpY="173"/>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99"/>
        <w:gridCol w:w="2241"/>
        <w:gridCol w:w="4408"/>
        <w:gridCol w:w="848"/>
        <w:gridCol w:w="991"/>
      </w:tblGrid>
      <w:tr w14:paraId="7F4D48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0" w:hRule="atLeast"/>
        </w:trPr>
        <w:tc>
          <w:tcPr>
            <w:tcW w:w="848" w:type="dxa"/>
            <w:noWrap w:val="0"/>
            <w:vAlign w:val="center"/>
          </w:tcPr>
          <w:p w14:paraId="37AE1B72">
            <w:pPr>
              <w:keepNext w:val="0"/>
              <w:keepLines w:val="0"/>
              <w:pageBreakBefore w:val="0"/>
              <w:widowControl w:val="0"/>
              <w:suppressLineNumbers w:val="0"/>
              <w:spacing w:before="0" w:beforeAutospacing="0" w:after="0" w:afterAutospacing="0" w:line="360" w:lineRule="auto"/>
              <w:ind w:left="0" w:right="0" w:firstLine="0"/>
              <w:jc w:val="center"/>
              <w:rPr>
                <w:rFonts w:hint="eastAsia" w:ascii="宋体" w:hAnsi="宋体" w:eastAsia="宋体" w:cs="宋体"/>
                <w:bCs/>
                <w:color w:val="auto"/>
                <w:kern w:val="0"/>
                <w:sz w:val="24"/>
                <w:szCs w:val="24"/>
                <w:highlight w:val="none"/>
              </w:rPr>
            </w:pPr>
            <w:r>
              <w:rPr>
                <w:rFonts w:hint="eastAsia" w:ascii="宋体" w:hAnsi="宋体" w:eastAsia="宋体" w:cs="宋体"/>
                <w:bCs/>
                <w:color w:val="auto"/>
                <w:kern w:val="0"/>
                <w:sz w:val="24"/>
                <w:szCs w:val="24"/>
                <w:highlight w:val="none"/>
              </w:rPr>
              <w:t>序号</w:t>
            </w:r>
          </w:p>
        </w:tc>
        <w:tc>
          <w:tcPr>
            <w:tcW w:w="2378" w:type="dxa"/>
            <w:noWrap w:val="0"/>
            <w:vAlign w:val="center"/>
          </w:tcPr>
          <w:p w14:paraId="36AC8E52">
            <w:pPr>
              <w:keepNext w:val="0"/>
              <w:keepLines w:val="0"/>
              <w:pageBreakBefore w:val="0"/>
              <w:widowControl w:val="0"/>
              <w:suppressLineNumbers w:val="0"/>
              <w:spacing w:before="0" w:beforeAutospacing="0" w:after="0" w:afterAutospacing="0" w:line="360" w:lineRule="auto"/>
              <w:ind w:left="0" w:right="0" w:firstLine="0"/>
              <w:jc w:val="both"/>
              <w:rPr>
                <w:rFonts w:hint="eastAsia" w:ascii="宋体" w:hAnsi="宋体" w:eastAsia="宋体" w:cs="宋体"/>
                <w:bCs/>
                <w:color w:val="auto"/>
                <w:kern w:val="0"/>
                <w:sz w:val="24"/>
                <w:szCs w:val="24"/>
                <w:highlight w:val="none"/>
              </w:rPr>
            </w:pPr>
            <w:r>
              <w:rPr>
                <w:rFonts w:hint="eastAsia" w:ascii="宋体" w:hAnsi="宋体" w:eastAsia="宋体" w:cs="宋体"/>
                <w:bCs/>
                <w:color w:val="auto"/>
                <w:kern w:val="0"/>
                <w:sz w:val="24"/>
                <w:szCs w:val="24"/>
                <w:highlight w:val="none"/>
              </w:rPr>
              <w:t xml:space="preserve">     项目编号</w:t>
            </w:r>
          </w:p>
        </w:tc>
        <w:tc>
          <w:tcPr>
            <w:tcW w:w="4677" w:type="dxa"/>
            <w:noWrap w:val="0"/>
            <w:vAlign w:val="center"/>
          </w:tcPr>
          <w:p w14:paraId="10F52BC4">
            <w:pPr>
              <w:keepNext w:val="0"/>
              <w:keepLines w:val="0"/>
              <w:pageBreakBefore w:val="0"/>
              <w:widowControl w:val="0"/>
              <w:suppressLineNumbers w:val="0"/>
              <w:spacing w:before="0" w:beforeAutospacing="0" w:after="0" w:afterAutospacing="0" w:line="360" w:lineRule="auto"/>
              <w:ind w:left="0" w:right="0" w:firstLine="0"/>
              <w:jc w:val="center"/>
              <w:rPr>
                <w:rFonts w:hint="eastAsia" w:ascii="宋体" w:hAnsi="宋体" w:eastAsia="宋体" w:cs="宋体"/>
                <w:bCs/>
                <w:color w:val="auto"/>
                <w:kern w:val="0"/>
                <w:sz w:val="24"/>
                <w:szCs w:val="24"/>
                <w:highlight w:val="none"/>
              </w:rPr>
            </w:pPr>
            <w:r>
              <w:rPr>
                <w:rFonts w:hint="eastAsia" w:ascii="宋体" w:hAnsi="宋体" w:eastAsia="宋体" w:cs="宋体"/>
                <w:bCs/>
                <w:color w:val="auto"/>
                <w:kern w:val="0"/>
                <w:sz w:val="24"/>
                <w:szCs w:val="24"/>
                <w:highlight w:val="none"/>
              </w:rPr>
              <w:t>服务需求名称（标的名称）</w:t>
            </w:r>
          </w:p>
        </w:tc>
        <w:tc>
          <w:tcPr>
            <w:tcW w:w="900" w:type="dxa"/>
            <w:noWrap w:val="0"/>
            <w:vAlign w:val="center"/>
          </w:tcPr>
          <w:p w14:paraId="6A2E05C6">
            <w:pPr>
              <w:keepNext w:val="0"/>
              <w:keepLines w:val="0"/>
              <w:pageBreakBefore w:val="0"/>
              <w:widowControl w:val="0"/>
              <w:suppressLineNumbers w:val="0"/>
              <w:spacing w:before="0" w:beforeAutospacing="0" w:after="0" w:afterAutospacing="0" w:line="360" w:lineRule="auto"/>
              <w:ind w:left="0" w:right="0" w:firstLine="0"/>
              <w:jc w:val="center"/>
              <w:rPr>
                <w:rFonts w:hint="eastAsia" w:ascii="宋体" w:hAnsi="宋体" w:eastAsia="宋体" w:cs="宋体"/>
                <w:bCs/>
                <w:color w:val="auto"/>
                <w:kern w:val="0"/>
                <w:sz w:val="24"/>
                <w:szCs w:val="24"/>
                <w:highlight w:val="none"/>
              </w:rPr>
            </w:pPr>
            <w:r>
              <w:rPr>
                <w:rFonts w:hint="eastAsia" w:ascii="宋体" w:hAnsi="宋体" w:eastAsia="宋体" w:cs="宋体"/>
                <w:bCs/>
                <w:color w:val="auto"/>
                <w:kern w:val="0"/>
                <w:sz w:val="24"/>
                <w:szCs w:val="24"/>
                <w:highlight w:val="none"/>
              </w:rPr>
              <w:t>数量</w:t>
            </w:r>
          </w:p>
        </w:tc>
        <w:tc>
          <w:tcPr>
            <w:tcW w:w="1051" w:type="dxa"/>
            <w:noWrap w:val="0"/>
            <w:vAlign w:val="center"/>
          </w:tcPr>
          <w:p w14:paraId="041DCAF0">
            <w:pPr>
              <w:keepNext w:val="0"/>
              <w:keepLines w:val="0"/>
              <w:pageBreakBefore w:val="0"/>
              <w:widowControl w:val="0"/>
              <w:suppressLineNumbers w:val="0"/>
              <w:spacing w:before="0" w:beforeAutospacing="0" w:after="0" w:afterAutospacing="0" w:line="360" w:lineRule="auto"/>
              <w:ind w:left="0" w:right="0" w:firstLine="0"/>
              <w:jc w:val="center"/>
              <w:rPr>
                <w:rFonts w:hint="eastAsia" w:ascii="宋体" w:hAnsi="宋体" w:eastAsia="宋体" w:cs="宋体"/>
                <w:bCs/>
                <w:color w:val="auto"/>
                <w:kern w:val="0"/>
                <w:sz w:val="24"/>
                <w:szCs w:val="24"/>
                <w:highlight w:val="none"/>
              </w:rPr>
            </w:pPr>
            <w:r>
              <w:rPr>
                <w:rFonts w:hint="eastAsia" w:ascii="宋体" w:hAnsi="宋体" w:eastAsia="宋体" w:cs="宋体"/>
                <w:bCs/>
                <w:color w:val="auto"/>
                <w:kern w:val="0"/>
                <w:sz w:val="24"/>
                <w:szCs w:val="24"/>
                <w:highlight w:val="none"/>
              </w:rPr>
              <w:t>单位</w:t>
            </w:r>
          </w:p>
        </w:tc>
      </w:tr>
      <w:tr w14:paraId="2C6CCD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0" w:hRule="atLeast"/>
        </w:trPr>
        <w:tc>
          <w:tcPr>
            <w:tcW w:w="848" w:type="dxa"/>
            <w:noWrap w:val="0"/>
            <w:vAlign w:val="center"/>
          </w:tcPr>
          <w:p w14:paraId="173E082F">
            <w:pPr>
              <w:keepNext w:val="0"/>
              <w:keepLines w:val="0"/>
              <w:pageBreakBefore w:val="0"/>
              <w:widowControl w:val="0"/>
              <w:suppressLineNumbers w:val="0"/>
              <w:spacing w:before="0" w:beforeAutospacing="0" w:after="0" w:afterAutospacing="0" w:line="360" w:lineRule="auto"/>
              <w:ind w:left="0" w:right="0" w:firstLine="280"/>
              <w:jc w:val="both"/>
              <w:rPr>
                <w:rFonts w:hint="eastAsia" w:ascii="宋体" w:hAnsi="宋体" w:eastAsia="宋体" w:cs="宋体"/>
                <w:bCs/>
                <w:color w:val="auto"/>
                <w:kern w:val="0"/>
                <w:sz w:val="24"/>
                <w:szCs w:val="24"/>
                <w:highlight w:val="none"/>
              </w:rPr>
            </w:pPr>
            <w:r>
              <w:rPr>
                <w:rFonts w:hint="eastAsia" w:ascii="宋体" w:hAnsi="宋体" w:eastAsia="宋体" w:cs="宋体"/>
                <w:bCs/>
                <w:color w:val="auto"/>
                <w:kern w:val="0"/>
                <w:sz w:val="24"/>
                <w:szCs w:val="24"/>
                <w:highlight w:val="none"/>
              </w:rPr>
              <w:t>1</w:t>
            </w:r>
          </w:p>
        </w:tc>
        <w:tc>
          <w:tcPr>
            <w:tcW w:w="2378" w:type="dxa"/>
            <w:noWrap w:val="0"/>
            <w:vAlign w:val="center"/>
          </w:tcPr>
          <w:p w14:paraId="23183671">
            <w:pPr>
              <w:keepNext w:val="0"/>
              <w:keepLines w:val="0"/>
              <w:widowControl/>
              <w:suppressLineNumbers w:val="0"/>
              <w:shd w:val="clear" w:color="auto" w:fill="FFFFFF"/>
              <w:spacing w:before="0" w:beforeAutospacing="0" w:after="0" w:afterAutospacing="0" w:line="360" w:lineRule="auto"/>
              <w:ind w:left="0" w:right="0" w:firstLine="0"/>
              <w:outlineLvl w:val="9"/>
              <w:rPr>
                <w:rFonts w:hint="eastAsia" w:ascii="宋体" w:hAnsi="宋体" w:eastAsia="宋体" w:cs="宋体"/>
                <w:bCs/>
                <w:color w:val="auto"/>
                <w:kern w:val="0"/>
                <w:sz w:val="24"/>
                <w:szCs w:val="24"/>
                <w:highlight w:val="none"/>
                <w:lang w:val="en-US" w:eastAsia="zh-CN"/>
              </w:rPr>
            </w:pPr>
            <w:r>
              <w:rPr>
                <w:rFonts w:hint="eastAsia" w:ascii="宋体" w:hAnsi="宋体" w:eastAsia="宋体" w:cs="宋体"/>
                <w:bCs/>
                <w:color w:val="auto"/>
                <w:kern w:val="0"/>
                <w:sz w:val="24"/>
                <w:szCs w:val="24"/>
                <w:highlight w:val="none"/>
                <w:lang w:val="en-US" w:eastAsia="zh-CN"/>
              </w:rPr>
              <w:t xml:space="preserve"> </w:t>
            </w:r>
            <w:r>
              <w:rPr>
                <w:rFonts w:hint="eastAsia" w:ascii="宋体" w:hAnsi="宋体" w:cs="宋体"/>
                <w:bCs/>
                <w:color w:val="auto"/>
                <w:kern w:val="0"/>
                <w:sz w:val="24"/>
                <w:szCs w:val="24"/>
                <w:highlight w:val="none"/>
                <w:lang w:val="en-US" w:eastAsia="zh-CN"/>
              </w:rPr>
              <w:t>JSZC-320413-HSGS-D2026-0002</w:t>
            </w:r>
          </w:p>
        </w:tc>
        <w:tc>
          <w:tcPr>
            <w:tcW w:w="4677" w:type="dxa"/>
            <w:noWrap w:val="0"/>
            <w:vAlign w:val="center"/>
          </w:tcPr>
          <w:p w14:paraId="6D1217E7">
            <w:pPr>
              <w:keepNext w:val="0"/>
              <w:keepLines w:val="0"/>
              <w:pageBreakBefore w:val="0"/>
              <w:widowControl w:val="0"/>
              <w:suppressLineNumbers w:val="0"/>
              <w:spacing w:before="0" w:beforeAutospacing="0" w:after="0" w:afterAutospacing="0" w:line="360" w:lineRule="auto"/>
              <w:ind w:left="0" w:right="0" w:firstLine="0"/>
              <w:jc w:val="both"/>
              <w:rPr>
                <w:rFonts w:hint="eastAsia" w:ascii="宋体" w:hAnsi="宋体" w:eastAsia="宋体" w:cs="宋体"/>
                <w:bCs/>
                <w:color w:val="auto"/>
                <w:kern w:val="0"/>
                <w:sz w:val="24"/>
                <w:szCs w:val="24"/>
                <w:highlight w:val="none"/>
              </w:rPr>
            </w:pPr>
            <w:r>
              <w:rPr>
                <w:rFonts w:hint="eastAsia" w:ascii="宋体" w:hAnsi="宋体" w:cs="宋体"/>
                <w:bCs/>
                <w:color w:val="auto"/>
                <w:kern w:val="0"/>
                <w:sz w:val="24"/>
                <w:szCs w:val="24"/>
                <w:highlight w:val="none"/>
                <w:lang w:val="en-US" w:eastAsia="zh-CN"/>
              </w:rPr>
              <w:t>儒林镇集中供养特困对象养老护理服务项目</w:t>
            </w:r>
          </w:p>
        </w:tc>
        <w:tc>
          <w:tcPr>
            <w:tcW w:w="900" w:type="dxa"/>
            <w:noWrap w:val="0"/>
            <w:vAlign w:val="center"/>
          </w:tcPr>
          <w:p w14:paraId="0D14FC8C">
            <w:pPr>
              <w:keepNext w:val="0"/>
              <w:keepLines w:val="0"/>
              <w:pageBreakBefore w:val="0"/>
              <w:widowControl w:val="0"/>
              <w:suppressLineNumbers w:val="0"/>
              <w:spacing w:before="0" w:beforeAutospacing="0" w:after="0" w:afterAutospacing="0" w:line="360" w:lineRule="auto"/>
              <w:ind w:left="0" w:right="0" w:firstLine="280"/>
              <w:jc w:val="both"/>
              <w:rPr>
                <w:rFonts w:hint="eastAsia" w:ascii="宋体" w:hAnsi="宋体" w:eastAsia="宋体" w:cs="宋体"/>
                <w:bCs/>
                <w:color w:val="auto"/>
                <w:kern w:val="0"/>
                <w:sz w:val="24"/>
                <w:szCs w:val="24"/>
                <w:highlight w:val="none"/>
              </w:rPr>
            </w:pPr>
            <w:r>
              <w:rPr>
                <w:rFonts w:hint="eastAsia" w:ascii="宋体" w:hAnsi="宋体" w:eastAsia="宋体" w:cs="宋体"/>
                <w:color w:val="auto"/>
                <w:kern w:val="0"/>
                <w:sz w:val="24"/>
                <w:szCs w:val="24"/>
                <w:highlight w:val="none"/>
              </w:rPr>
              <w:t>1</w:t>
            </w:r>
          </w:p>
        </w:tc>
        <w:tc>
          <w:tcPr>
            <w:tcW w:w="1051" w:type="dxa"/>
            <w:noWrap w:val="0"/>
            <w:vAlign w:val="center"/>
          </w:tcPr>
          <w:p w14:paraId="4A31495E">
            <w:pPr>
              <w:keepNext w:val="0"/>
              <w:keepLines w:val="0"/>
              <w:pageBreakBefore w:val="0"/>
              <w:widowControl w:val="0"/>
              <w:suppressLineNumbers w:val="0"/>
              <w:spacing w:before="0" w:beforeAutospacing="0" w:after="0" w:afterAutospacing="0" w:line="360" w:lineRule="auto"/>
              <w:ind w:left="0" w:right="0" w:firstLine="280"/>
              <w:jc w:val="both"/>
              <w:rPr>
                <w:rFonts w:hint="eastAsia" w:ascii="宋体" w:hAnsi="宋体" w:eastAsia="宋体" w:cs="宋体"/>
                <w:bCs/>
                <w:color w:val="auto"/>
                <w:kern w:val="0"/>
                <w:sz w:val="24"/>
                <w:szCs w:val="24"/>
                <w:highlight w:val="none"/>
              </w:rPr>
            </w:pPr>
            <w:r>
              <w:rPr>
                <w:rFonts w:hint="eastAsia" w:ascii="宋体" w:hAnsi="宋体" w:eastAsia="宋体" w:cs="宋体"/>
                <w:bCs/>
                <w:color w:val="auto"/>
                <w:kern w:val="0"/>
                <w:sz w:val="24"/>
                <w:szCs w:val="24"/>
                <w:highlight w:val="none"/>
              </w:rPr>
              <w:t>项</w:t>
            </w:r>
          </w:p>
        </w:tc>
      </w:tr>
    </w:tbl>
    <w:p w14:paraId="6920DF01">
      <w:pPr>
        <w:pStyle w:val="14"/>
        <w:rPr>
          <w:rFonts w:hint="eastAsia" w:ascii="宋体" w:hAnsi="宋体" w:eastAsia="宋体" w:cs="宋体"/>
          <w:sz w:val="24"/>
          <w:szCs w:val="24"/>
          <w:lang w:val="en-US" w:eastAsia="zh-CN"/>
        </w:rPr>
      </w:pPr>
    </w:p>
    <w:p w14:paraId="648B5EA5">
      <w:pPr>
        <w:rPr>
          <w:b/>
          <w:sz w:val="36"/>
          <w:szCs w:val="36"/>
        </w:rPr>
      </w:pPr>
      <w:bookmarkStart w:id="654" w:name="_Toc99301283"/>
      <w:r>
        <w:rPr>
          <w:b/>
          <w:sz w:val="36"/>
          <w:szCs w:val="36"/>
        </w:rPr>
        <w:br w:type="page"/>
      </w:r>
    </w:p>
    <w:p w14:paraId="775C33FC">
      <w:pPr>
        <w:pageBreakBefore w:val="0"/>
        <w:widowControl/>
        <w:jc w:val="center"/>
        <w:rPr>
          <w:rFonts w:hint="eastAsia" w:ascii="宋体" w:hAnsi="宋体" w:eastAsia="宋体" w:cs="宋体"/>
          <w:b/>
          <w:color w:val="000000"/>
          <w:sz w:val="36"/>
          <w:szCs w:val="36"/>
        </w:rPr>
      </w:pPr>
      <w:r>
        <w:rPr>
          <w:b/>
          <w:sz w:val="36"/>
          <w:szCs w:val="36"/>
        </w:rPr>
        <w:t xml:space="preserve">第五章  </w:t>
      </w:r>
      <w:r>
        <w:rPr>
          <w:rFonts w:hint="eastAsia" w:ascii="宋体" w:hAnsi="宋体" w:eastAsia="宋体" w:cs="宋体"/>
          <w:b/>
          <w:sz w:val="36"/>
          <w:szCs w:val="36"/>
        </w:rPr>
        <w:t xml:space="preserve"> </w:t>
      </w:r>
      <w:bookmarkEnd w:id="654"/>
      <w:r>
        <w:rPr>
          <w:rFonts w:hint="eastAsia" w:ascii="宋体" w:hAnsi="宋体" w:eastAsia="宋体" w:cs="宋体"/>
          <w:b/>
          <w:color w:val="000000"/>
          <w:sz w:val="36"/>
          <w:szCs w:val="36"/>
        </w:rPr>
        <w:t>合同草案条款</w:t>
      </w:r>
    </w:p>
    <w:p w14:paraId="7E4527DE">
      <w:pPr>
        <w:pStyle w:val="442"/>
        <w:pageBreakBefore w:val="0"/>
        <w:spacing w:before="0" w:beforeAutospacing="0" w:after="0" w:afterAutospacing="0" w:line="560" w:lineRule="exact"/>
        <w:jc w:val="center"/>
        <w:outlineLvl w:val="1"/>
        <w:rPr>
          <w:rStyle w:val="265"/>
          <w:rFonts w:hint="eastAsia" w:ascii="宋体" w:hAnsi="宋体" w:eastAsia="宋体" w:cs="宋体"/>
          <w:color w:val="000000"/>
          <w:sz w:val="40"/>
          <w:szCs w:val="40"/>
        </w:rPr>
      </w:pPr>
    </w:p>
    <w:p w14:paraId="50E4B125">
      <w:pPr>
        <w:pStyle w:val="442"/>
        <w:pageBreakBefore w:val="0"/>
        <w:spacing w:before="0" w:beforeAutospacing="0" w:after="0" w:afterAutospacing="0" w:line="560" w:lineRule="exact"/>
        <w:jc w:val="center"/>
        <w:outlineLvl w:val="1"/>
        <w:rPr>
          <w:rStyle w:val="265"/>
          <w:rFonts w:hint="eastAsia" w:ascii="宋体" w:hAnsi="宋体" w:eastAsia="宋体" w:cs="宋体"/>
          <w:color w:val="000000"/>
          <w:sz w:val="40"/>
          <w:szCs w:val="40"/>
        </w:rPr>
      </w:pPr>
    </w:p>
    <w:p w14:paraId="0B22ED7D">
      <w:pPr>
        <w:pStyle w:val="442"/>
        <w:pageBreakBefore w:val="0"/>
        <w:spacing w:before="0" w:beforeAutospacing="0" w:after="0" w:afterAutospacing="0" w:line="560" w:lineRule="exact"/>
        <w:jc w:val="center"/>
        <w:outlineLvl w:val="1"/>
        <w:rPr>
          <w:rStyle w:val="265"/>
          <w:rFonts w:hint="eastAsia" w:ascii="宋体" w:hAnsi="宋体" w:eastAsia="宋体" w:cs="宋体"/>
          <w:color w:val="000000"/>
          <w:sz w:val="40"/>
          <w:szCs w:val="40"/>
        </w:rPr>
      </w:pPr>
    </w:p>
    <w:p w14:paraId="4D7F520A">
      <w:pPr>
        <w:pStyle w:val="442"/>
        <w:pageBreakBefore w:val="0"/>
        <w:spacing w:before="0" w:beforeAutospacing="0" w:after="0" w:afterAutospacing="0" w:line="560" w:lineRule="exact"/>
        <w:jc w:val="center"/>
        <w:outlineLvl w:val="1"/>
        <w:rPr>
          <w:rStyle w:val="265"/>
          <w:rFonts w:hint="eastAsia" w:ascii="宋体" w:hAnsi="宋体" w:eastAsia="宋体" w:cs="宋体"/>
          <w:color w:val="000000"/>
          <w:sz w:val="40"/>
          <w:szCs w:val="40"/>
        </w:rPr>
      </w:pPr>
    </w:p>
    <w:p w14:paraId="089731BE">
      <w:pPr>
        <w:pStyle w:val="442"/>
        <w:pageBreakBefore w:val="0"/>
        <w:spacing w:before="0" w:beforeAutospacing="0" w:after="0" w:afterAutospacing="0" w:line="560" w:lineRule="exact"/>
        <w:jc w:val="center"/>
        <w:outlineLvl w:val="1"/>
        <w:rPr>
          <w:rStyle w:val="265"/>
          <w:rFonts w:hint="eastAsia" w:ascii="宋体" w:hAnsi="宋体" w:eastAsia="宋体" w:cs="宋体"/>
          <w:color w:val="000000"/>
          <w:sz w:val="40"/>
          <w:szCs w:val="40"/>
        </w:rPr>
      </w:pPr>
    </w:p>
    <w:p w14:paraId="300E597E">
      <w:pPr>
        <w:pStyle w:val="442"/>
        <w:pageBreakBefore w:val="0"/>
        <w:spacing w:before="0" w:beforeAutospacing="0" w:after="0" w:afterAutospacing="0" w:line="560" w:lineRule="exact"/>
        <w:jc w:val="center"/>
        <w:outlineLvl w:val="1"/>
        <w:rPr>
          <w:rFonts w:hint="eastAsia" w:ascii="宋体" w:hAnsi="宋体" w:eastAsia="宋体" w:cs="宋体"/>
          <w:color w:val="000000"/>
          <w:sz w:val="36"/>
          <w:szCs w:val="32"/>
        </w:rPr>
      </w:pPr>
      <w:r>
        <w:rPr>
          <w:rStyle w:val="265"/>
          <w:rFonts w:hint="eastAsia" w:ascii="宋体" w:hAnsi="宋体" w:eastAsia="宋体" w:cs="宋体"/>
          <w:color w:val="000000"/>
          <w:sz w:val="40"/>
          <w:szCs w:val="40"/>
        </w:rPr>
        <w:t>合同协议书</w:t>
      </w:r>
    </w:p>
    <w:p w14:paraId="05CC7AF9">
      <w:pPr>
        <w:pStyle w:val="442"/>
        <w:pageBreakBefore w:val="0"/>
        <w:spacing w:before="0" w:beforeAutospacing="0" w:after="0" w:afterAutospacing="0"/>
        <w:rPr>
          <w:rFonts w:hint="eastAsia" w:ascii="宋体" w:hAnsi="宋体" w:eastAsia="宋体" w:cs="宋体"/>
          <w:color w:val="000000"/>
        </w:rPr>
      </w:pPr>
      <w:r>
        <w:rPr>
          <w:rFonts w:hint="eastAsia" w:ascii="宋体" w:hAnsi="宋体" w:eastAsia="宋体" w:cs="宋体"/>
          <w:color w:val="000000"/>
          <w:sz w:val="28"/>
          <w:szCs w:val="28"/>
        </w:rPr>
        <w:t> </w:t>
      </w:r>
    </w:p>
    <w:p w14:paraId="62C6567A">
      <w:pPr>
        <w:pStyle w:val="442"/>
        <w:pageBreakBefore w:val="0"/>
        <w:spacing w:before="0" w:beforeAutospacing="0" w:after="0" w:afterAutospacing="0"/>
        <w:rPr>
          <w:rFonts w:hint="eastAsia" w:ascii="宋体" w:hAnsi="宋体" w:eastAsia="宋体" w:cs="宋体"/>
          <w:color w:val="000000"/>
        </w:rPr>
      </w:pPr>
      <w:r>
        <w:rPr>
          <w:rFonts w:hint="eastAsia" w:ascii="宋体" w:hAnsi="宋体" w:eastAsia="宋体" w:cs="宋体"/>
          <w:color w:val="000000"/>
          <w:sz w:val="28"/>
          <w:szCs w:val="28"/>
        </w:rPr>
        <w:t> </w:t>
      </w:r>
    </w:p>
    <w:p w14:paraId="0C55EED2">
      <w:pPr>
        <w:pStyle w:val="442"/>
        <w:pageBreakBefore w:val="0"/>
        <w:spacing w:before="0" w:beforeAutospacing="0" w:after="0" w:afterAutospacing="0"/>
        <w:rPr>
          <w:rFonts w:hint="eastAsia" w:ascii="宋体" w:hAnsi="宋体" w:eastAsia="宋体" w:cs="宋体"/>
          <w:color w:val="000000"/>
        </w:rPr>
      </w:pPr>
      <w:r>
        <w:rPr>
          <w:rFonts w:hint="eastAsia" w:ascii="宋体" w:hAnsi="宋体" w:eastAsia="宋体" w:cs="宋体"/>
          <w:color w:val="000000"/>
          <w:sz w:val="28"/>
          <w:szCs w:val="28"/>
        </w:rPr>
        <w:t> </w:t>
      </w:r>
    </w:p>
    <w:p w14:paraId="374D7768">
      <w:pPr>
        <w:pStyle w:val="442"/>
        <w:pageBreakBefore w:val="0"/>
        <w:spacing w:before="0" w:beforeAutospacing="0" w:after="0" w:afterAutospacing="0" w:line="560" w:lineRule="exact"/>
        <w:ind w:firstLine="1405"/>
        <w:rPr>
          <w:rFonts w:hint="eastAsia" w:ascii="宋体" w:hAnsi="宋体" w:eastAsia="宋体" w:cs="宋体"/>
          <w:color w:val="000000"/>
        </w:rPr>
      </w:pPr>
      <w:r>
        <w:rPr>
          <w:rStyle w:val="265"/>
          <w:rFonts w:hint="eastAsia" w:ascii="宋体" w:hAnsi="宋体" w:eastAsia="宋体" w:cs="宋体"/>
          <w:color w:val="000000"/>
          <w:sz w:val="28"/>
          <w:szCs w:val="28"/>
        </w:rPr>
        <w:t xml:space="preserve">项目名称： </w:t>
      </w:r>
      <w:r>
        <w:rPr>
          <w:rStyle w:val="265"/>
          <w:rFonts w:hint="eastAsia" w:ascii="宋体" w:hAnsi="宋体" w:eastAsia="宋体" w:cs="宋体"/>
          <w:color w:val="000000"/>
          <w:spacing w:val="8"/>
          <w:sz w:val="28"/>
          <w:szCs w:val="28"/>
          <w:u w:val="single"/>
        </w:rPr>
        <w:t xml:space="preserve"> </w:t>
      </w:r>
      <w:r>
        <w:rPr>
          <w:rFonts w:hint="eastAsia" w:ascii="宋体" w:hAnsi="宋体" w:eastAsia="宋体" w:cs="宋体"/>
          <w:color w:val="000000"/>
          <w:sz w:val="28"/>
          <w:szCs w:val="28"/>
          <w:u w:val="single"/>
        </w:rPr>
        <w:t xml:space="preserve">                      </w:t>
      </w:r>
      <w:r>
        <w:rPr>
          <w:rStyle w:val="265"/>
          <w:rFonts w:hint="eastAsia" w:ascii="宋体" w:hAnsi="宋体" w:eastAsia="宋体" w:cs="宋体"/>
          <w:color w:val="000000"/>
          <w:sz w:val="28"/>
          <w:szCs w:val="28"/>
        </w:rPr>
        <w:t xml:space="preserve">                          </w:t>
      </w:r>
    </w:p>
    <w:p w14:paraId="68CACD80">
      <w:pPr>
        <w:pStyle w:val="442"/>
        <w:pageBreakBefore w:val="0"/>
        <w:spacing w:before="0" w:beforeAutospacing="0" w:after="0" w:afterAutospacing="0" w:line="560" w:lineRule="exact"/>
        <w:ind w:firstLine="1405"/>
        <w:rPr>
          <w:rFonts w:hint="eastAsia" w:ascii="宋体" w:hAnsi="宋体" w:eastAsia="宋体" w:cs="宋体"/>
          <w:color w:val="000000"/>
        </w:rPr>
      </w:pPr>
      <w:r>
        <w:rPr>
          <w:rStyle w:val="265"/>
          <w:rFonts w:hint="eastAsia" w:ascii="宋体" w:hAnsi="宋体" w:eastAsia="宋体" w:cs="宋体"/>
          <w:color w:val="000000"/>
          <w:sz w:val="28"/>
          <w:szCs w:val="28"/>
        </w:rPr>
        <w:t xml:space="preserve">项目编号： </w:t>
      </w:r>
      <w:r>
        <w:rPr>
          <w:rStyle w:val="265"/>
          <w:rFonts w:hint="eastAsia" w:ascii="宋体" w:hAnsi="宋体" w:eastAsia="宋体" w:cs="宋体"/>
          <w:color w:val="000000"/>
          <w:spacing w:val="8"/>
          <w:sz w:val="28"/>
          <w:szCs w:val="28"/>
          <w:u w:val="single"/>
        </w:rPr>
        <w:t xml:space="preserve">                     </w:t>
      </w:r>
      <w:r>
        <w:rPr>
          <w:rStyle w:val="265"/>
          <w:rFonts w:hint="eastAsia" w:ascii="宋体" w:hAnsi="宋体" w:eastAsia="宋体" w:cs="宋体"/>
          <w:color w:val="000000"/>
          <w:sz w:val="28"/>
          <w:szCs w:val="28"/>
        </w:rPr>
        <w:t xml:space="preserve">                             </w:t>
      </w:r>
    </w:p>
    <w:p w14:paraId="4470DFF4">
      <w:pPr>
        <w:pStyle w:val="442"/>
        <w:pageBreakBefore w:val="0"/>
        <w:spacing w:before="0" w:beforeAutospacing="0" w:after="0" w:afterAutospacing="0" w:line="560" w:lineRule="exact"/>
        <w:ind w:firstLine="1405"/>
        <w:rPr>
          <w:rFonts w:hint="eastAsia" w:ascii="宋体" w:hAnsi="宋体" w:eastAsia="宋体" w:cs="宋体"/>
          <w:color w:val="000000"/>
        </w:rPr>
      </w:pPr>
      <w:r>
        <w:rPr>
          <w:rStyle w:val="265"/>
          <w:rFonts w:hint="eastAsia" w:ascii="宋体" w:hAnsi="宋体" w:eastAsia="宋体" w:cs="宋体"/>
          <w:color w:val="000000"/>
          <w:sz w:val="28"/>
          <w:szCs w:val="28"/>
        </w:rPr>
        <w:t xml:space="preserve">合同编号： </w:t>
      </w:r>
      <w:r>
        <w:rPr>
          <w:rStyle w:val="265"/>
          <w:rFonts w:hint="eastAsia" w:ascii="宋体" w:hAnsi="宋体" w:eastAsia="宋体" w:cs="宋体"/>
          <w:color w:val="000000"/>
          <w:spacing w:val="8"/>
          <w:sz w:val="28"/>
          <w:szCs w:val="28"/>
          <w:u w:val="single"/>
        </w:rPr>
        <w:t xml:space="preserve">                     </w:t>
      </w:r>
      <w:r>
        <w:rPr>
          <w:rStyle w:val="265"/>
          <w:rFonts w:hint="eastAsia" w:ascii="宋体" w:hAnsi="宋体" w:eastAsia="宋体" w:cs="宋体"/>
          <w:color w:val="000000"/>
          <w:sz w:val="28"/>
          <w:szCs w:val="28"/>
        </w:rPr>
        <w:t xml:space="preserve">                             </w:t>
      </w:r>
    </w:p>
    <w:p w14:paraId="68B927D2">
      <w:pPr>
        <w:pStyle w:val="442"/>
        <w:pageBreakBefore w:val="0"/>
        <w:spacing w:before="0" w:beforeAutospacing="0" w:after="0" w:afterAutospacing="0" w:line="560" w:lineRule="exact"/>
        <w:ind w:firstLine="2811"/>
        <w:rPr>
          <w:rFonts w:hint="eastAsia" w:ascii="宋体" w:hAnsi="宋体" w:eastAsia="宋体" w:cs="宋体"/>
          <w:color w:val="000000"/>
        </w:rPr>
      </w:pPr>
      <w:r>
        <w:rPr>
          <w:rStyle w:val="265"/>
          <w:rFonts w:hint="eastAsia" w:ascii="宋体" w:hAnsi="宋体" w:eastAsia="宋体" w:cs="宋体"/>
          <w:color w:val="000000"/>
          <w:sz w:val="28"/>
          <w:szCs w:val="28"/>
        </w:rPr>
        <w:t> </w:t>
      </w:r>
    </w:p>
    <w:p w14:paraId="1A911339">
      <w:pPr>
        <w:pStyle w:val="442"/>
        <w:pageBreakBefore w:val="0"/>
        <w:spacing w:before="0" w:beforeAutospacing="0" w:after="0" w:afterAutospacing="0" w:line="560" w:lineRule="exact"/>
        <w:ind w:firstLine="2811"/>
        <w:rPr>
          <w:rFonts w:hint="eastAsia" w:ascii="宋体" w:hAnsi="宋体" w:eastAsia="宋体" w:cs="宋体"/>
          <w:color w:val="000000"/>
        </w:rPr>
      </w:pPr>
      <w:r>
        <w:rPr>
          <w:rStyle w:val="265"/>
          <w:rFonts w:hint="eastAsia" w:ascii="宋体" w:hAnsi="宋体" w:eastAsia="宋体" w:cs="宋体"/>
          <w:color w:val="000000"/>
          <w:sz w:val="28"/>
          <w:szCs w:val="28"/>
        </w:rPr>
        <w:t> </w:t>
      </w:r>
    </w:p>
    <w:p w14:paraId="0ACE7E0F">
      <w:pPr>
        <w:pStyle w:val="442"/>
        <w:pageBreakBefore w:val="0"/>
        <w:spacing w:before="0" w:beforeAutospacing="0" w:after="0" w:afterAutospacing="0" w:line="560" w:lineRule="exact"/>
        <w:ind w:firstLine="1405"/>
        <w:rPr>
          <w:rFonts w:hint="eastAsia" w:ascii="宋体" w:hAnsi="宋体" w:eastAsia="宋体" w:cs="宋体"/>
          <w:color w:val="000000"/>
        </w:rPr>
      </w:pPr>
      <w:r>
        <w:rPr>
          <w:rStyle w:val="265"/>
          <w:rFonts w:hint="eastAsia" w:ascii="宋体" w:hAnsi="宋体" w:eastAsia="宋体" w:cs="宋体"/>
          <w:color w:val="000000"/>
          <w:sz w:val="28"/>
          <w:szCs w:val="28"/>
        </w:rPr>
        <w:t> </w:t>
      </w:r>
    </w:p>
    <w:p w14:paraId="5638EF1A">
      <w:pPr>
        <w:pStyle w:val="442"/>
        <w:pageBreakBefore w:val="0"/>
        <w:spacing w:before="0" w:beforeAutospacing="0" w:after="0" w:afterAutospacing="0" w:line="560" w:lineRule="exact"/>
        <w:ind w:firstLine="1405"/>
        <w:rPr>
          <w:rFonts w:hint="eastAsia" w:ascii="宋体" w:hAnsi="宋体" w:eastAsia="宋体" w:cs="宋体"/>
          <w:color w:val="000000"/>
        </w:rPr>
      </w:pPr>
      <w:r>
        <w:rPr>
          <w:rStyle w:val="265"/>
          <w:rFonts w:hint="eastAsia" w:ascii="宋体" w:hAnsi="宋体" w:eastAsia="宋体" w:cs="宋体"/>
          <w:color w:val="000000"/>
          <w:sz w:val="28"/>
          <w:szCs w:val="28"/>
        </w:rPr>
        <w:t>采购人（采购人）：</w:t>
      </w:r>
      <w:r>
        <w:rPr>
          <w:rStyle w:val="265"/>
          <w:rFonts w:hint="eastAsia" w:ascii="宋体" w:hAnsi="宋体" w:eastAsia="宋体" w:cs="宋体"/>
          <w:color w:val="000000"/>
          <w:spacing w:val="8"/>
          <w:sz w:val="28"/>
          <w:szCs w:val="28"/>
          <w:u w:val="single"/>
        </w:rPr>
        <w:t xml:space="preserve"> </w:t>
      </w:r>
      <w:r>
        <w:rPr>
          <w:rFonts w:hint="eastAsia" w:ascii="宋体" w:hAnsi="宋体" w:eastAsia="宋体" w:cs="宋体"/>
          <w:color w:val="000000"/>
          <w:sz w:val="28"/>
          <w:szCs w:val="28"/>
          <w:u w:val="single"/>
        </w:rPr>
        <w:t xml:space="preserve">                </w:t>
      </w:r>
      <w:r>
        <w:rPr>
          <w:rStyle w:val="265"/>
          <w:rFonts w:hint="eastAsia" w:ascii="宋体" w:hAnsi="宋体" w:eastAsia="宋体" w:cs="宋体"/>
          <w:color w:val="000000"/>
          <w:spacing w:val="8"/>
          <w:sz w:val="28"/>
          <w:szCs w:val="28"/>
          <w:u w:val="single"/>
        </w:rPr>
        <w:t xml:space="preserve">   </w:t>
      </w:r>
      <w:r>
        <w:rPr>
          <w:rStyle w:val="265"/>
          <w:rFonts w:hint="eastAsia" w:ascii="宋体" w:hAnsi="宋体" w:eastAsia="宋体" w:cs="宋体"/>
          <w:color w:val="000000"/>
          <w:sz w:val="28"/>
          <w:szCs w:val="28"/>
        </w:rPr>
        <w:t xml:space="preserve">                    </w:t>
      </w:r>
    </w:p>
    <w:p w14:paraId="4D18F160">
      <w:pPr>
        <w:pStyle w:val="442"/>
        <w:pageBreakBefore w:val="0"/>
        <w:spacing w:before="0" w:beforeAutospacing="0" w:after="0" w:afterAutospacing="0" w:line="560" w:lineRule="exact"/>
        <w:ind w:firstLine="1405"/>
        <w:rPr>
          <w:rFonts w:hint="eastAsia" w:ascii="宋体" w:hAnsi="宋体" w:eastAsia="宋体" w:cs="宋体"/>
          <w:color w:val="000000"/>
        </w:rPr>
      </w:pPr>
      <w:r>
        <w:rPr>
          <w:rStyle w:val="265"/>
          <w:rFonts w:hint="eastAsia" w:ascii="宋体" w:hAnsi="宋体" w:eastAsia="宋体" w:cs="宋体"/>
          <w:color w:val="000000"/>
          <w:sz w:val="28"/>
          <w:szCs w:val="28"/>
        </w:rPr>
        <w:t>中标供应商（中标供应商）：</w:t>
      </w:r>
      <w:r>
        <w:rPr>
          <w:rStyle w:val="265"/>
          <w:rFonts w:hint="eastAsia" w:ascii="宋体" w:hAnsi="宋体" w:eastAsia="宋体" w:cs="宋体"/>
          <w:color w:val="000000"/>
          <w:spacing w:val="8"/>
          <w:sz w:val="28"/>
          <w:szCs w:val="28"/>
          <w:u w:val="single"/>
        </w:rPr>
        <w:t xml:space="preserve">           </w:t>
      </w:r>
    </w:p>
    <w:p w14:paraId="0AD8144B">
      <w:pPr>
        <w:pStyle w:val="442"/>
        <w:pageBreakBefore w:val="0"/>
        <w:spacing w:before="0" w:beforeAutospacing="0" w:after="0" w:afterAutospacing="0" w:line="560" w:lineRule="exact"/>
        <w:ind w:firstLine="1405"/>
        <w:rPr>
          <w:rFonts w:hint="eastAsia" w:ascii="宋体" w:hAnsi="宋体" w:eastAsia="宋体" w:cs="宋体"/>
          <w:color w:val="000000"/>
        </w:rPr>
      </w:pPr>
      <w:r>
        <w:rPr>
          <w:rStyle w:val="265"/>
          <w:rFonts w:hint="eastAsia" w:ascii="宋体" w:hAnsi="宋体" w:eastAsia="宋体" w:cs="宋体"/>
          <w:color w:val="000000"/>
          <w:sz w:val="28"/>
          <w:szCs w:val="28"/>
        </w:rPr>
        <w:t> </w:t>
      </w:r>
    </w:p>
    <w:p w14:paraId="4DB2E947">
      <w:pPr>
        <w:pStyle w:val="442"/>
        <w:pageBreakBefore w:val="0"/>
        <w:spacing w:before="0" w:beforeAutospacing="0" w:after="0" w:afterAutospacing="0" w:line="560" w:lineRule="exact"/>
        <w:ind w:firstLine="1405"/>
        <w:rPr>
          <w:rFonts w:hint="eastAsia" w:ascii="宋体" w:hAnsi="宋体" w:eastAsia="宋体" w:cs="宋体"/>
          <w:color w:val="000000"/>
        </w:rPr>
      </w:pPr>
      <w:r>
        <w:rPr>
          <w:rStyle w:val="265"/>
          <w:rFonts w:hint="eastAsia" w:ascii="宋体" w:hAnsi="宋体" w:eastAsia="宋体" w:cs="宋体"/>
          <w:color w:val="000000"/>
          <w:sz w:val="28"/>
          <w:szCs w:val="28"/>
        </w:rPr>
        <w:t> </w:t>
      </w:r>
    </w:p>
    <w:p w14:paraId="6A3A0318">
      <w:pPr>
        <w:snapToGrid w:val="0"/>
        <w:spacing w:beforeLines="50" w:afterLines="50" w:line="570" w:lineRule="exact"/>
        <w:ind w:firstLine="560" w:firstLineChars="200"/>
        <w:jc w:val="center"/>
        <w:outlineLvl w:val="0"/>
        <w:rPr>
          <w:rFonts w:hint="eastAsia" w:ascii="宋体" w:hAnsi="宋体" w:eastAsia="宋体" w:cs="宋体"/>
          <w:kern w:val="2"/>
          <w:sz w:val="21"/>
          <w:szCs w:val="21"/>
          <w:lang w:val="en-US" w:eastAsia="zh-CN" w:bidi="ar-SA"/>
        </w:rPr>
      </w:pPr>
      <w:r>
        <w:rPr>
          <w:rFonts w:hint="eastAsia" w:ascii="宋体" w:hAnsi="宋体" w:eastAsia="宋体" w:cs="宋体"/>
          <w:color w:val="000000"/>
          <w:sz w:val="28"/>
          <w:szCs w:val="28"/>
        </w:rPr>
        <w:br w:type="page" w:clear="all"/>
      </w:r>
      <w:bookmarkStart w:id="655" w:name="_Toc267251442"/>
      <w:r>
        <w:rPr>
          <w:rFonts w:hint="eastAsia" w:ascii="宋体" w:hAnsi="宋体" w:eastAsia="宋体" w:cs="宋体"/>
          <w:b/>
          <w:bCs/>
          <w:color w:val="auto"/>
          <w:kern w:val="2"/>
          <w:sz w:val="28"/>
          <w:szCs w:val="28"/>
          <w:highlight w:val="none"/>
        </w:rPr>
        <w:t>常州市政府采购合同（服务）</w:t>
      </w:r>
    </w:p>
    <w:p w14:paraId="65EE10C2">
      <w:pPr>
        <w:keepNext w:val="0"/>
        <w:keepLines w:val="0"/>
        <w:pageBreakBefore w:val="0"/>
        <w:widowControl w:val="0"/>
        <w:tabs>
          <w:tab w:val="left" w:pos="567"/>
        </w:tabs>
        <w:kinsoku/>
        <w:wordWrap/>
        <w:overflowPunct/>
        <w:topLinePunct w:val="0"/>
        <w:autoSpaceDE/>
        <w:autoSpaceDN/>
        <w:bidi w:val="0"/>
        <w:adjustRightInd/>
        <w:snapToGrid w:val="0"/>
        <w:spacing w:before="120" w:line="360" w:lineRule="auto"/>
        <w:ind w:left="0" w:right="392" w:firstLine="480" w:firstLineChars="200"/>
        <w:jc w:val="both"/>
        <w:textAlignment w:val="auto"/>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甲方：</w:t>
      </w:r>
    </w:p>
    <w:p w14:paraId="31B4A77A">
      <w:pPr>
        <w:keepNext w:val="0"/>
        <w:keepLines w:val="0"/>
        <w:pageBreakBefore w:val="0"/>
        <w:widowControl w:val="0"/>
        <w:tabs>
          <w:tab w:val="left" w:pos="567"/>
        </w:tabs>
        <w:kinsoku/>
        <w:wordWrap/>
        <w:overflowPunct/>
        <w:topLinePunct w:val="0"/>
        <w:autoSpaceDE/>
        <w:autoSpaceDN/>
        <w:bidi w:val="0"/>
        <w:adjustRightInd/>
        <w:snapToGrid w:val="0"/>
        <w:spacing w:before="120" w:line="360" w:lineRule="auto"/>
        <w:ind w:left="0" w:right="392" w:firstLine="480" w:firstLineChars="200"/>
        <w:jc w:val="both"/>
        <w:textAlignment w:val="auto"/>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乙方：</w:t>
      </w:r>
    </w:p>
    <w:p w14:paraId="3F1947F5">
      <w:pPr>
        <w:keepNext w:val="0"/>
        <w:keepLines w:val="0"/>
        <w:pageBreakBefore w:val="0"/>
        <w:widowControl w:val="0"/>
        <w:tabs>
          <w:tab w:val="left" w:pos="567"/>
        </w:tabs>
        <w:kinsoku/>
        <w:wordWrap/>
        <w:overflowPunct/>
        <w:topLinePunct w:val="0"/>
        <w:autoSpaceDE/>
        <w:autoSpaceDN/>
        <w:bidi w:val="0"/>
        <w:adjustRightInd/>
        <w:snapToGrid w:val="0"/>
        <w:spacing w:before="120" w:line="360" w:lineRule="auto"/>
        <w:ind w:left="0" w:right="392" w:firstLine="480" w:firstLineChars="200"/>
        <w:jc w:val="both"/>
        <w:textAlignment w:val="auto"/>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 xml:space="preserve">甲、乙双方本着“诚信务实、合作共赢、资源共享”的原则，经甲、乙双方多次洽谈、协商，按照“公建民营”的方式，甲方委托乙方为儒林集中供养特困对象提供养老护理服务。双方充分利用公共养老资源、产业规划及市场基础，共同推进儒林镇养老事业的发展。为明确双方的权利、义务及合作方式，依据《中华人民共和国民法典》、《老年人权益保障法》、《国务院五保供养条例》等相关法律法规签订本协议，并共同遵守。 </w:t>
      </w:r>
    </w:p>
    <w:p w14:paraId="289FA838">
      <w:pPr>
        <w:keepNext w:val="0"/>
        <w:keepLines w:val="0"/>
        <w:pageBreakBefore w:val="0"/>
        <w:widowControl w:val="0"/>
        <w:kinsoku/>
        <w:wordWrap/>
        <w:overflowPunct/>
        <w:topLinePunct w:val="0"/>
        <w:autoSpaceDE/>
        <w:autoSpaceDN/>
        <w:bidi w:val="0"/>
        <w:adjustRightInd/>
        <w:snapToGrid w:val="0"/>
        <w:spacing w:line="360" w:lineRule="auto"/>
        <w:ind w:left="0" w:leftChars="0" w:firstLine="482" w:firstLineChars="200"/>
        <w:jc w:val="both"/>
        <w:textAlignment w:val="auto"/>
        <w:outlineLvl w:val="0"/>
        <w:rPr>
          <w:rFonts w:hint="eastAsia" w:ascii="宋体" w:hAnsi="宋体" w:eastAsia="宋体" w:cs="宋体"/>
          <w:b/>
          <w:bCs/>
          <w:color w:val="auto"/>
          <w:kern w:val="2"/>
          <w:sz w:val="24"/>
          <w:szCs w:val="24"/>
          <w:lang w:val="en-US" w:eastAsia="zh-CN" w:bidi="ar-SA"/>
        </w:rPr>
      </w:pPr>
      <w:r>
        <w:rPr>
          <w:rFonts w:hint="eastAsia" w:ascii="宋体" w:hAnsi="宋体" w:eastAsia="宋体" w:cs="宋体"/>
          <w:b/>
          <w:bCs/>
          <w:color w:val="auto"/>
          <w:kern w:val="2"/>
          <w:sz w:val="24"/>
          <w:szCs w:val="24"/>
          <w:lang w:val="en-US" w:eastAsia="zh-CN" w:bidi="ar-SA"/>
        </w:rPr>
        <w:t>第一条  合作范围</w:t>
      </w:r>
    </w:p>
    <w:p w14:paraId="6E8A080A">
      <w:pPr>
        <w:keepNext w:val="0"/>
        <w:keepLines w:val="0"/>
        <w:pageBreakBefore w:val="0"/>
        <w:widowControl w:val="0"/>
        <w:tabs>
          <w:tab w:val="left" w:pos="1276"/>
        </w:tabs>
        <w:kinsoku/>
        <w:wordWrap/>
        <w:overflowPunct/>
        <w:topLinePunct w:val="0"/>
        <w:autoSpaceDE/>
        <w:autoSpaceDN/>
        <w:bidi w:val="0"/>
        <w:adjustRightInd/>
        <w:snapToGrid w:val="0"/>
        <w:spacing w:line="360" w:lineRule="auto"/>
        <w:ind w:right="392" w:firstLine="480" w:firstLineChars="200"/>
        <w:textAlignment w:val="auto"/>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1.本协议合作场所为常州市金坛区儒林镇综合养老服务中心（以下简称养老中心），场所占地6.95亩，建筑面积1660㎡左右（位于金坛区儒林镇儒林西街111号，包括南侧建筑物全部及北侧建筑物中食堂、办公室一间、门卫室一间）。</w:t>
      </w:r>
    </w:p>
    <w:p w14:paraId="0840DA87">
      <w:pPr>
        <w:keepNext w:val="0"/>
        <w:keepLines w:val="0"/>
        <w:pageBreakBefore w:val="0"/>
        <w:widowControl w:val="0"/>
        <w:tabs>
          <w:tab w:val="left" w:pos="1276"/>
        </w:tabs>
        <w:kinsoku/>
        <w:wordWrap/>
        <w:overflowPunct/>
        <w:topLinePunct w:val="0"/>
        <w:autoSpaceDE/>
        <w:autoSpaceDN/>
        <w:bidi w:val="0"/>
        <w:adjustRightInd/>
        <w:snapToGrid w:val="0"/>
        <w:spacing w:line="360" w:lineRule="auto"/>
        <w:ind w:right="392" w:firstLine="480" w:firstLineChars="200"/>
        <w:textAlignment w:val="auto"/>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2.协议生效后，</w:t>
      </w:r>
      <w:r>
        <w:rPr>
          <w:rFonts w:hint="eastAsia" w:ascii="宋体" w:hAnsi="宋体" w:cs="宋体"/>
          <w:color w:val="auto"/>
          <w:kern w:val="2"/>
          <w:sz w:val="24"/>
          <w:szCs w:val="24"/>
          <w:lang w:val="en-US" w:eastAsia="zh-CN" w:bidi="ar-SA"/>
        </w:rPr>
        <w:t>儒林镇集中供养特困对象养老护理服务项目</w:t>
      </w:r>
      <w:r>
        <w:rPr>
          <w:rFonts w:hint="eastAsia" w:ascii="宋体" w:hAnsi="宋体" w:eastAsia="宋体" w:cs="宋体"/>
          <w:color w:val="auto"/>
          <w:kern w:val="2"/>
          <w:sz w:val="24"/>
          <w:szCs w:val="24"/>
          <w:lang w:val="en-US" w:eastAsia="zh-CN" w:bidi="ar-SA"/>
        </w:rPr>
        <w:t>（以下简称特困对象）统一交由乙方提供服务。</w:t>
      </w:r>
    </w:p>
    <w:p w14:paraId="440691F2">
      <w:pPr>
        <w:keepNext w:val="0"/>
        <w:keepLines w:val="0"/>
        <w:pageBreakBefore w:val="0"/>
        <w:widowControl w:val="0"/>
        <w:tabs>
          <w:tab w:val="left" w:pos="1170"/>
        </w:tabs>
        <w:kinsoku/>
        <w:wordWrap/>
        <w:overflowPunct/>
        <w:topLinePunct w:val="0"/>
        <w:autoSpaceDE/>
        <w:autoSpaceDN/>
        <w:bidi w:val="0"/>
        <w:adjustRightInd/>
        <w:snapToGrid w:val="0"/>
        <w:spacing w:line="360" w:lineRule="auto"/>
        <w:ind w:left="0" w:leftChars="0" w:right="504" w:firstLine="480" w:firstLineChars="200"/>
        <w:jc w:val="left"/>
        <w:textAlignment w:val="auto"/>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第二条  合作内容</w:t>
      </w:r>
    </w:p>
    <w:p w14:paraId="430B67B5">
      <w:pPr>
        <w:keepNext w:val="0"/>
        <w:keepLines w:val="0"/>
        <w:pageBreakBefore w:val="0"/>
        <w:widowControl w:val="0"/>
        <w:tabs>
          <w:tab w:val="left" w:pos="1170"/>
        </w:tabs>
        <w:kinsoku/>
        <w:wordWrap/>
        <w:overflowPunct/>
        <w:topLinePunct w:val="0"/>
        <w:autoSpaceDE/>
        <w:autoSpaceDN/>
        <w:bidi w:val="0"/>
        <w:adjustRightInd/>
        <w:snapToGrid w:val="0"/>
        <w:spacing w:line="360" w:lineRule="auto"/>
        <w:ind w:right="392" w:firstLine="480" w:firstLineChars="200"/>
        <w:jc w:val="both"/>
        <w:textAlignment w:val="auto"/>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1.乙方使用养老中心的房屋及附属设施进行与养老相关的业务，包括医疗护理、康复护理、精神慰藉、文化娱乐、助老服务等。</w:t>
      </w:r>
    </w:p>
    <w:p w14:paraId="3998840A">
      <w:pPr>
        <w:keepNext w:val="0"/>
        <w:keepLines w:val="0"/>
        <w:pageBreakBefore w:val="0"/>
        <w:widowControl w:val="0"/>
        <w:tabs>
          <w:tab w:val="left" w:pos="1170"/>
        </w:tabs>
        <w:kinsoku/>
        <w:wordWrap/>
        <w:overflowPunct/>
        <w:topLinePunct w:val="0"/>
        <w:autoSpaceDE/>
        <w:autoSpaceDN/>
        <w:bidi w:val="0"/>
        <w:adjustRightInd/>
        <w:snapToGrid w:val="0"/>
        <w:spacing w:line="360" w:lineRule="auto"/>
        <w:ind w:right="392" w:firstLine="480" w:firstLineChars="200"/>
        <w:jc w:val="both"/>
        <w:textAlignment w:val="auto"/>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2.甲方特困对象入住本养老中心的，由甲方</w:t>
      </w:r>
      <w:bookmarkStart w:id="656" w:name="_Hlk81387885"/>
      <w:r>
        <w:rPr>
          <w:rFonts w:hint="eastAsia" w:ascii="宋体" w:hAnsi="宋体" w:eastAsia="宋体" w:cs="宋体"/>
          <w:color w:val="auto"/>
          <w:kern w:val="2"/>
          <w:sz w:val="24"/>
          <w:szCs w:val="24"/>
          <w:lang w:val="en-US" w:eastAsia="zh-CN" w:bidi="ar-SA"/>
        </w:rPr>
        <w:t>将特困对象</w:t>
      </w:r>
      <w:bookmarkEnd w:id="656"/>
      <w:r>
        <w:rPr>
          <w:rFonts w:hint="eastAsia" w:ascii="宋体" w:hAnsi="宋体" w:eastAsia="宋体" w:cs="宋体"/>
          <w:color w:val="auto"/>
          <w:kern w:val="2"/>
          <w:sz w:val="24"/>
          <w:szCs w:val="24"/>
          <w:lang w:val="en-US" w:eastAsia="zh-CN" w:bidi="ar-SA"/>
        </w:rPr>
        <w:t>供养救助补贴支付给乙方，救助补贴中含特困对象零花钱（100元/月/人），零花钱由乙方每月足额支付给特困对象。甲方特困对象付费时间根据有关部门规定执行，合同期内政策文件规定调整供养救助补贴标准的，按新政策规定调整。</w:t>
      </w:r>
    </w:p>
    <w:p w14:paraId="1B30072D">
      <w:pPr>
        <w:keepNext w:val="0"/>
        <w:keepLines w:val="0"/>
        <w:pageBreakBefore w:val="0"/>
        <w:widowControl w:val="0"/>
        <w:tabs>
          <w:tab w:val="left" w:pos="1170"/>
        </w:tabs>
        <w:kinsoku/>
        <w:wordWrap/>
        <w:overflowPunct/>
        <w:topLinePunct w:val="0"/>
        <w:autoSpaceDE/>
        <w:autoSpaceDN/>
        <w:bidi w:val="0"/>
        <w:adjustRightInd/>
        <w:snapToGrid w:val="0"/>
        <w:spacing w:line="360" w:lineRule="auto"/>
        <w:ind w:right="392" w:firstLine="480" w:firstLineChars="200"/>
        <w:jc w:val="both"/>
        <w:textAlignment w:val="auto"/>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3.乙方按优惠价向甲方收取入住特困对象的护理费用，具体收费标准：轻度失能老人   元/月/人，中、重度失能老人   元/月/人，完全失能老人   元/月/人。享受长期护理保险保障的特困对象，如选择乙方提供长期护理保障服务，乙方应从以上护理费用中扣除获得的长期护理保障费用（长期护理保险基金支付）。特困对象因病住院治疗连续时间不超过15天，不影响护理费用的结算。时间超过15天，护理费用结算需剔除住院治疗时间。特困对象需使用纸尿裤，由乙方提供使用清单和购买票据，费用由甲方按实结算。特困对象床上用品费、服装费等由甲方按每人300元/年向乙方支付（根据票据结算）。甲方补贴给特困对象的零花钱和节假日慰问品，企业及社会人士的定向捐款，由甲方按时支付或移交乙方，乙方不得截留或挪作他用。</w:t>
      </w:r>
    </w:p>
    <w:p w14:paraId="35872026">
      <w:pPr>
        <w:keepNext w:val="0"/>
        <w:keepLines w:val="0"/>
        <w:pageBreakBefore w:val="0"/>
        <w:widowControl w:val="0"/>
        <w:tabs>
          <w:tab w:val="left" w:pos="1170"/>
        </w:tabs>
        <w:kinsoku/>
        <w:wordWrap/>
        <w:overflowPunct/>
        <w:topLinePunct w:val="0"/>
        <w:autoSpaceDE/>
        <w:autoSpaceDN/>
        <w:bidi w:val="0"/>
        <w:adjustRightInd/>
        <w:snapToGrid w:val="0"/>
        <w:spacing w:line="360" w:lineRule="auto"/>
        <w:ind w:right="392" w:firstLine="480" w:firstLineChars="200"/>
        <w:jc w:val="both"/>
        <w:textAlignment w:val="auto"/>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4.乙方在合作期间为甲方特困对象预留床位数为35床，由甲、乙双方根据特困对象实际情况酌情安排。甲方特困对象床位需求超过预留床位数，在床位富余时，乙方无条件安排，在床位供养紧张时，甲乙双方协商处理。其余床位由乙方面向社会服务，具体收费标准实行市场化定价。</w:t>
      </w:r>
    </w:p>
    <w:p w14:paraId="47421F93">
      <w:pPr>
        <w:keepNext w:val="0"/>
        <w:keepLines w:val="0"/>
        <w:pageBreakBefore w:val="0"/>
        <w:widowControl w:val="0"/>
        <w:tabs>
          <w:tab w:val="left" w:pos="1211"/>
        </w:tabs>
        <w:kinsoku/>
        <w:wordWrap/>
        <w:overflowPunct/>
        <w:topLinePunct w:val="0"/>
        <w:autoSpaceDE/>
        <w:autoSpaceDN/>
        <w:bidi w:val="0"/>
        <w:adjustRightInd/>
        <w:snapToGrid w:val="0"/>
        <w:spacing w:line="360" w:lineRule="auto"/>
        <w:ind w:right="256" w:firstLine="480" w:firstLineChars="200"/>
        <w:jc w:val="left"/>
        <w:textAlignment w:val="auto"/>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5.特困对象的医药费及安葬费：特困对象因病住院治疗的医疗费、护理费、交通费及门诊医药费用，医疗报销后剩余费用由甲方承担（住院护理费按甲方规定标准支付），但乙方有义务及时发现和送医，向甲方实报实销。特困对象原则在就近的儒林卫生院就医，非紧急情况确需外出就医的，需报甲方同意。特困对象每年一次体检，由甲方组织，乙方配合。特困对象死亡后的后事处理，由乙方协助甲方处理。供养对象的安葬费原则上由供养对象的亲属负责，考虑到供养对象的实际情况，供养对象死亡后，甲方按每人2000元的标准补贴给死者亲属。如特困对象死亡后无亲属处理后事的，由乙方负责办理，甲方按实结算给乙方。</w:t>
      </w:r>
    </w:p>
    <w:p w14:paraId="083F8DB8">
      <w:pPr>
        <w:keepNext w:val="0"/>
        <w:keepLines w:val="0"/>
        <w:pageBreakBefore w:val="0"/>
        <w:widowControl w:val="0"/>
        <w:tabs>
          <w:tab w:val="left" w:pos="1211"/>
        </w:tabs>
        <w:kinsoku/>
        <w:wordWrap/>
        <w:overflowPunct/>
        <w:topLinePunct w:val="0"/>
        <w:autoSpaceDE/>
        <w:autoSpaceDN/>
        <w:bidi w:val="0"/>
        <w:adjustRightInd/>
        <w:snapToGrid w:val="0"/>
        <w:spacing w:line="360" w:lineRule="auto"/>
        <w:ind w:right="256" w:firstLine="480" w:firstLineChars="200"/>
        <w:jc w:val="left"/>
        <w:textAlignment w:val="auto"/>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6.甲、乙双方应按照要求落实国家、省、市、区对养老机构的各项扶持政策，合作期间上级部门下达的各类补贴，除上级部门明确定向补助给甲方的资金以外，资金全部归乙方所有。</w:t>
      </w:r>
    </w:p>
    <w:p w14:paraId="0F82ED60">
      <w:pPr>
        <w:keepNext w:val="0"/>
        <w:keepLines w:val="0"/>
        <w:pageBreakBefore w:val="0"/>
        <w:widowControl w:val="0"/>
        <w:tabs>
          <w:tab w:val="left" w:pos="1211"/>
        </w:tabs>
        <w:kinsoku/>
        <w:wordWrap/>
        <w:overflowPunct/>
        <w:topLinePunct w:val="0"/>
        <w:autoSpaceDE/>
        <w:autoSpaceDN/>
        <w:bidi w:val="0"/>
        <w:adjustRightInd/>
        <w:snapToGrid w:val="0"/>
        <w:spacing w:line="360" w:lineRule="auto"/>
        <w:ind w:right="256" w:firstLine="480" w:firstLineChars="200"/>
        <w:jc w:val="left"/>
        <w:textAlignment w:val="auto"/>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第三条 合作期限</w:t>
      </w:r>
    </w:p>
    <w:p w14:paraId="0BEFEA92">
      <w:pPr>
        <w:keepNext w:val="0"/>
        <w:keepLines w:val="0"/>
        <w:pageBreakBefore w:val="0"/>
        <w:widowControl w:val="0"/>
        <w:tabs>
          <w:tab w:val="left" w:pos="1211"/>
        </w:tabs>
        <w:kinsoku/>
        <w:wordWrap/>
        <w:overflowPunct/>
        <w:topLinePunct w:val="0"/>
        <w:autoSpaceDE/>
        <w:autoSpaceDN/>
        <w:bidi w:val="0"/>
        <w:adjustRightInd/>
        <w:snapToGrid w:val="0"/>
        <w:spacing w:line="360" w:lineRule="auto"/>
        <w:ind w:right="256" w:firstLine="480" w:firstLineChars="200"/>
        <w:jc w:val="left"/>
        <w:textAlignment w:val="auto"/>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1.合作期限为3年。合同一年一签，即      年    月   日至     年   月   日，合同期满，甲方将对乙方进行考核，考核合格可续签下一年合同；考核不合格，甲方出具书面整改意见，乙方根据考核结果进行三个月的整改，整改通过则续签，整改不通过则合同终止。</w:t>
      </w:r>
    </w:p>
    <w:p w14:paraId="31B8A27C">
      <w:pPr>
        <w:keepNext w:val="0"/>
        <w:keepLines w:val="0"/>
        <w:pageBreakBefore w:val="0"/>
        <w:widowControl w:val="0"/>
        <w:tabs>
          <w:tab w:val="left" w:pos="1211"/>
        </w:tabs>
        <w:kinsoku/>
        <w:wordWrap/>
        <w:overflowPunct/>
        <w:topLinePunct w:val="0"/>
        <w:autoSpaceDE/>
        <w:autoSpaceDN/>
        <w:bidi w:val="0"/>
        <w:adjustRightInd/>
        <w:snapToGrid w:val="0"/>
        <w:spacing w:line="360" w:lineRule="auto"/>
        <w:ind w:right="256" w:firstLine="480" w:firstLineChars="200"/>
        <w:jc w:val="left"/>
        <w:textAlignment w:val="auto"/>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2.协议期内，甲方不得向第三方私自签订排他性的合作协议。</w:t>
      </w:r>
    </w:p>
    <w:p w14:paraId="11ABD981">
      <w:pPr>
        <w:keepNext w:val="0"/>
        <w:keepLines w:val="0"/>
        <w:pageBreakBefore w:val="0"/>
        <w:widowControl w:val="0"/>
        <w:numPr>
          <w:ilvl w:val="0"/>
          <w:numId w:val="0"/>
        </w:numPr>
        <w:kinsoku/>
        <w:wordWrap/>
        <w:overflowPunct w:val="0"/>
        <w:topLinePunct w:val="0"/>
        <w:autoSpaceDE/>
        <w:autoSpaceDN/>
        <w:bidi w:val="0"/>
        <w:adjustRightInd w:val="0"/>
        <w:snapToGrid w:val="0"/>
        <w:spacing w:line="360" w:lineRule="auto"/>
        <w:ind w:firstLine="480" w:firstLineChars="200"/>
        <w:textAlignment w:val="auto"/>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第四条 付款方式</w:t>
      </w:r>
    </w:p>
    <w:p w14:paraId="329C88EA">
      <w:pPr>
        <w:keepNext w:val="0"/>
        <w:keepLines w:val="0"/>
        <w:pageBreakBefore w:val="0"/>
        <w:widowControl w:val="0"/>
        <w:numPr>
          <w:ilvl w:val="0"/>
          <w:numId w:val="0"/>
        </w:numPr>
        <w:kinsoku/>
        <w:wordWrap/>
        <w:topLinePunct w:val="0"/>
        <w:autoSpaceDE/>
        <w:autoSpaceDN/>
        <w:bidi w:val="0"/>
        <w:spacing w:line="360" w:lineRule="auto"/>
        <w:ind w:left="420" w:leftChars="200"/>
        <w:jc w:val="both"/>
        <w:textAlignment w:val="auto"/>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1.甲方根据实际入住特困对象人数，每月10日前向乙方支付特困对象供养救助补贴。</w:t>
      </w:r>
    </w:p>
    <w:p w14:paraId="0535C898">
      <w:pPr>
        <w:keepNext w:val="0"/>
        <w:keepLines w:val="0"/>
        <w:pageBreakBefore w:val="0"/>
        <w:widowControl w:val="0"/>
        <w:kinsoku/>
        <w:wordWrap/>
        <w:overflowPunct w:val="0"/>
        <w:topLinePunct w:val="0"/>
        <w:autoSpaceDE/>
        <w:autoSpaceDN/>
        <w:bidi w:val="0"/>
        <w:adjustRightInd w:val="0"/>
        <w:snapToGrid w:val="0"/>
        <w:spacing w:line="360" w:lineRule="auto"/>
        <w:ind w:firstLine="480" w:firstLineChars="200"/>
        <w:textAlignment w:val="auto"/>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2.甲方根据实际入住特困对象的人数及护理等级，于次月支付上一个月的护理费用及其他费用。</w:t>
      </w:r>
    </w:p>
    <w:p w14:paraId="2E477242">
      <w:pPr>
        <w:keepNext w:val="0"/>
        <w:keepLines w:val="0"/>
        <w:pageBreakBefore w:val="0"/>
        <w:widowControl w:val="0"/>
        <w:tabs>
          <w:tab w:val="left" w:pos="1211"/>
        </w:tabs>
        <w:kinsoku/>
        <w:wordWrap/>
        <w:overflowPunct/>
        <w:topLinePunct w:val="0"/>
        <w:autoSpaceDE/>
        <w:autoSpaceDN/>
        <w:bidi w:val="0"/>
        <w:adjustRightInd/>
        <w:snapToGrid w:val="0"/>
        <w:spacing w:line="360" w:lineRule="auto"/>
        <w:ind w:right="256" w:firstLine="480" w:firstLineChars="200"/>
        <w:jc w:val="left"/>
        <w:textAlignment w:val="auto"/>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第五条 甲方的权利与义务</w:t>
      </w:r>
    </w:p>
    <w:p w14:paraId="59FDB7E9">
      <w:pPr>
        <w:keepNext w:val="0"/>
        <w:keepLines w:val="0"/>
        <w:pageBreakBefore w:val="0"/>
        <w:widowControl w:val="0"/>
        <w:numPr>
          <w:ilvl w:val="0"/>
          <w:numId w:val="0"/>
        </w:numPr>
        <w:kinsoku/>
        <w:wordWrap/>
        <w:overflowPunct/>
        <w:topLinePunct w:val="0"/>
        <w:autoSpaceDE/>
        <w:autoSpaceDN/>
        <w:bidi w:val="0"/>
        <w:adjustRightInd/>
        <w:snapToGrid w:val="0"/>
        <w:spacing w:line="360" w:lineRule="auto"/>
        <w:ind w:firstLine="480" w:firstLineChars="200"/>
        <w:textAlignment w:val="auto"/>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1.甲方应提供辖区内的特困对象信息并配合乙方做好宣传工作，协调上级部门。协助乙方办理工商、税务、消防、卫生等在内的相关资质及报批手续。配合乙方向上争取各类专项补助资金，并及时将补助资金拨付给乙方。</w:t>
      </w:r>
    </w:p>
    <w:p w14:paraId="20584176">
      <w:pPr>
        <w:keepNext w:val="0"/>
        <w:keepLines w:val="0"/>
        <w:pageBreakBefore w:val="0"/>
        <w:widowControl w:val="0"/>
        <w:numPr>
          <w:ilvl w:val="0"/>
          <w:numId w:val="0"/>
        </w:numPr>
        <w:kinsoku/>
        <w:wordWrap/>
        <w:overflowPunct/>
        <w:topLinePunct w:val="0"/>
        <w:autoSpaceDE/>
        <w:autoSpaceDN/>
        <w:bidi w:val="0"/>
        <w:adjustRightInd/>
        <w:snapToGrid w:val="0"/>
        <w:spacing w:line="360" w:lineRule="auto"/>
        <w:ind w:firstLine="480" w:firstLineChars="200"/>
        <w:jc w:val="both"/>
        <w:textAlignment w:val="auto"/>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2.甲方协助乙方提供入住养老中心特困对象的供养协议、各类保险合同等资料。</w:t>
      </w:r>
    </w:p>
    <w:p w14:paraId="02110E27">
      <w:pPr>
        <w:keepNext w:val="0"/>
        <w:keepLines w:val="0"/>
        <w:pageBreakBefore w:val="0"/>
        <w:widowControl w:val="0"/>
        <w:numPr>
          <w:ilvl w:val="0"/>
          <w:numId w:val="0"/>
        </w:numPr>
        <w:kinsoku/>
        <w:wordWrap/>
        <w:overflowPunct/>
        <w:topLinePunct w:val="0"/>
        <w:autoSpaceDE/>
        <w:autoSpaceDN/>
        <w:bidi w:val="0"/>
        <w:adjustRightInd/>
        <w:snapToGrid w:val="0"/>
        <w:spacing w:line="360" w:lineRule="auto"/>
        <w:ind w:firstLine="480" w:firstLineChars="200"/>
        <w:jc w:val="both"/>
        <w:textAlignment w:val="auto"/>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3.甲方有监督的权利，但不得无故干涉乙方日常的管理，不得随意干涉乙方正常的岗位设置及人员配备，以确保正常养老服务质量。甲方非法阻挠、干涉乙方合法经营导致乙方经济损失的，甲方应承担相应的赔偿责任。</w:t>
      </w:r>
    </w:p>
    <w:p w14:paraId="1A65A4BC">
      <w:pPr>
        <w:keepNext w:val="0"/>
        <w:keepLines w:val="0"/>
        <w:pageBreakBefore w:val="0"/>
        <w:widowControl w:val="0"/>
        <w:numPr>
          <w:ilvl w:val="0"/>
          <w:numId w:val="0"/>
        </w:numPr>
        <w:kinsoku/>
        <w:wordWrap/>
        <w:overflowPunct/>
        <w:topLinePunct w:val="0"/>
        <w:autoSpaceDE/>
        <w:autoSpaceDN/>
        <w:bidi w:val="0"/>
        <w:adjustRightInd/>
        <w:snapToGrid w:val="0"/>
        <w:spacing w:line="360" w:lineRule="auto"/>
        <w:ind w:firstLine="480" w:firstLineChars="200"/>
        <w:jc w:val="both"/>
        <w:textAlignment w:val="auto"/>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4.合作前，养老中心所发生的债权、债务、纠纷，全部应由甲方妥善处理。</w:t>
      </w:r>
    </w:p>
    <w:p w14:paraId="523D1CCE">
      <w:pPr>
        <w:keepNext w:val="0"/>
        <w:keepLines w:val="0"/>
        <w:pageBreakBefore w:val="0"/>
        <w:widowControl w:val="0"/>
        <w:numPr>
          <w:ilvl w:val="0"/>
          <w:numId w:val="0"/>
        </w:numPr>
        <w:kinsoku/>
        <w:wordWrap/>
        <w:overflowPunct/>
        <w:topLinePunct w:val="0"/>
        <w:autoSpaceDE/>
        <w:autoSpaceDN/>
        <w:bidi w:val="0"/>
        <w:adjustRightInd/>
        <w:snapToGrid w:val="0"/>
        <w:spacing w:line="360" w:lineRule="auto"/>
        <w:ind w:firstLine="480" w:firstLineChars="200"/>
        <w:jc w:val="both"/>
        <w:textAlignment w:val="auto"/>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5.乙方合作期内，非乙方过错造成的房屋主体结构出现质量问题而造成乙方工作人员、在院老人及客人伤亡损失的，由甲方负责赔偿。非乙方过错造成的养老中心房屋损坏的维修或所需经费由甲方负责。</w:t>
      </w:r>
    </w:p>
    <w:p w14:paraId="560989C3">
      <w:pPr>
        <w:keepNext w:val="0"/>
        <w:keepLines w:val="0"/>
        <w:pageBreakBefore w:val="0"/>
        <w:widowControl w:val="0"/>
        <w:numPr>
          <w:ilvl w:val="0"/>
          <w:numId w:val="0"/>
        </w:numPr>
        <w:kinsoku/>
        <w:wordWrap/>
        <w:overflowPunct/>
        <w:topLinePunct w:val="0"/>
        <w:autoSpaceDE/>
        <w:autoSpaceDN/>
        <w:bidi w:val="0"/>
        <w:adjustRightInd/>
        <w:snapToGrid w:val="0"/>
        <w:spacing w:line="360" w:lineRule="auto"/>
        <w:ind w:firstLine="480" w:firstLineChars="200"/>
        <w:jc w:val="both"/>
        <w:textAlignment w:val="auto"/>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6.乙方合作期间，如集中供养对象有传染病、攻击性精神病等有可能威胁其他老人及工作人员健康和人身安全的疾病，甲方应将老人转至专科类医院治疗。集中供养对象之间、集中供养对象与其他社会老人或与乙方之间发生纠纷时，甲方应协助乙方妥善处理。</w:t>
      </w:r>
    </w:p>
    <w:p w14:paraId="76DE2598">
      <w:pPr>
        <w:keepNext w:val="0"/>
        <w:keepLines w:val="0"/>
        <w:pageBreakBefore w:val="0"/>
        <w:widowControl w:val="0"/>
        <w:numPr>
          <w:ilvl w:val="0"/>
          <w:numId w:val="0"/>
        </w:numPr>
        <w:kinsoku/>
        <w:wordWrap/>
        <w:overflowPunct/>
        <w:topLinePunct w:val="0"/>
        <w:autoSpaceDE/>
        <w:autoSpaceDN/>
        <w:bidi w:val="0"/>
        <w:adjustRightInd/>
        <w:snapToGrid w:val="0"/>
        <w:spacing w:line="360" w:lineRule="auto"/>
        <w:ind w:firstLine="480" w:firstLineChars="200"/>
        <w:jc w:val="both"/>
        <w:textAlignment w:val="auto"/>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7.乙方合作期内，凡因发生严重地震、洪灾等自然灾害；战争或其他不能预见的、其发生和后果不能防止或避免的不可抗力；或上级政府部门政策因素致使的损失，双方互不追究。</w:t>
      </w:r>
    </w:p>
    <w:p w14:paraId="39A0B05E">
      <w:pPr>
        <w:keepNext w:val="0"/>
        <w:keepLines w:val="0"/>
        <w:pageBreakBefore w:val="0"/>
        <w:widowControl w:val="0"/>
        <w:numPr>
          <w:ilvl w:val="0"/>
          <w:numId w:val="0"/>
        </w:numPr>
        <w:kinsoku/>
        <w:wordWrap/>
        <w:overflowPunct/>
        <w:topLinePunct w:val="0"/>
        <w:autoSpaceDE/>
        <w:autoSpaceDN/>
        <w:bidi w:val="0"/>
        <w:adjustRightInd/>
        <w:snapToGrid w:val="0"/>
        <w:spacing w:line="360" w:lineRule="auto"/>
        <w:ind w:firstLine="480" w:firstLineChars="200"/>
        <w:jc w:val="both"/>
        <w:textAlignment w:val="auto"/>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8.政策法规规定应承担的其它责任。</w:t>
      </w:r>
    </w:p>
    <w:p w14:paraId="55191297">
      <w:pPr>
        <w:keepNext w:val="0"/>
        <w:keepLines w:val="0"/>
        <w:pageBreakBefore w:val="0"/>
        <w:widowControl w:val="0"/>
        <w:numPr>
          <w:ilvl w:val="0"/>
          <w:numId w:val="0"/>
        </w:numPr>
        <w:kinsoku/>
        <w:wordWrap/>
        <w:overflowPunct/>
        <w:topLinePunct w:val="0"/>
        <w:autoSpaceDE/>
        <w:autoSpaceDN/>
        <w:bidi w:val="0"/>
        <w:adjustRightInd/>
        <w:snapToGrid w:val="0"/>
        <w:spacing w:line="360" w:lineRule="auto"/>
        <w:ind w:firstLine="480" w:firstLineChars="200"/>
        <w:jc w:val="both"/>
        <w:textAlignment w:val="auto"/>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第六条 乙方的权利与义务</w:t>
      </w:r>
    </w:p>
    <w:p w14:paraId="6ABFC23B">
      <w:pPr>
        <w:keepNext w:val="0"/>
        <w:keepLines w:val="0"/>
        <w:pageBreakBefore w:val="0"/>
        <w:widowControl w:val="0"/>
        <w:numPr>
          <w:ilvl w:val="0"/>
          <w:numId w:val="0"/>
        </w:numPr>
        <w:kinsoku/>
        <w:wordWrap/>
        <w:overflowPunct/>
        <w:topLinePunct w:val="0"/>
        <w:autoSpaceDE/>
        <w:autoSpaceDN/>
        <w:bidi w:val="0"/>
        <w:adjustRightInd/>
        <w:snapToGrid w:val="0"/>
        <w:spacing w:line="360" w:lineRule="auto"/>
        <w:ind w:firstLine="480" w:firstLineChars="200"/>
        <w:jc w:val="both"/>
        <w:textAlignment w:val="auto"/>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1.乙方应自觉遵守和执行国家的各项法律法规，养老场所要符合公安、消防、安全生产、卫生及食品安全等有关规定要求，建立健全人身财产安全、安全生产、消防安全、卫生、食品、财务、档案管理等规章制度，制定服务标准和工作流程，严格落实各项安全管理的主体责任，并承担相应的法律责任。确保供养和托养人员的人身和财产安全，并按照相关规定做好养老机构责任险投保工作，投保人数不得低于上一年度实际入住人数。</w:t>
      </w:r>
    </w:p>
    <w:p w14:paraId="13508BB4">
      <w:pPr>
        <w:keepNext w:val="0"/>
        <w:keepLines w:val="0"/>
        <w:pageBreakBefore w:val="0"/>
        <w:widowControl w:val="0"/>
        <w:numPr>
          <w:ilvl w:val="0"/>
          <w:numId w:val="0"/>
        </w:numPr>
        <w:kinsoku/>
        <w:wordWrap/>
        <w:overflowPunct/>
        <w:topLinePunct w:val="0"/>
        <w:autoSpaceDE/>
        <w:autoSpaceDN/>
        <w:bidi w:val="0"/>
        <w:adjustRightInd/>
        <w:snapToGrid w:val="0"/>
        <w:spacing w:line="360" w:lineRule="auto"/>
        <w:ind w:firstLine="480" w:firstLineChars="200"/>
        <w:jc w:val="both"/>
        <w:textAlignment w:val="auto"/>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2.乙方必须根据养老机构主管部门的规定，确保其养老经营资质及从业人员资格的合法有效性，甲方有权不定期检查，经甲方督促后乙方未能整改到位的，甲方有权单方面解除合同。</w:t>
      </w:r>
    </w:p>
    <w:p w14:paraId="5597AD12">
      <w:pPr>
        <w:keepNext w:val="0"/>
        <w:keepLines w:val="0"/>
        <w:pageBreakBefore w:val="0"/>
        <w:widowControl w:val="0"/>
        <w:numPr>
          <w:ilvl w:val="0"/>
          <w:numId w:val="0"/>
        </w:numPr>
        <w:kinsoku/>
        <w:wordWrap/>
        <w:overflowPunct/>
        <w:topLinePunct w:val="0"/>
        <w:autoSpaceDE/>
        <w:autoSpaceDN/>
        <w:bidi w:val="0"/>
        <w:adjustRightInd/>
        <w:snapToGrid w:val="0"/>
        <w:spacing w:line="360" w:lineRule="auto"/>
        <w:ind w:firstLine="480" w:firstLineChars="200"/>
        <w:jc w:val="both"/>
        <w:textAlignment w:val="auto"/>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3.乙方应从事与养老相关的产业，并按照相关政策要求做到合理收费，乙方应认真做好管理服务工作，为老人提供优质服务，保证无条件接受特困对象（按照预留床位数），优先保证低保、残疾、优抚、孤寡等老人的入住需求。确需长期医养护理的特困对象，乙方可根据实际情况送往乙方经营的护理院进行长期护理。供养人员与社会托养人员统一膳食和统一服务标准，公开举报监督电话，接受社会各界的监督，并承担相关责任。</w:t>
      </w:r>
    </w:p>
    <w:p w14:paraId="558FC409">
      <w:pPr>
        <w:keepNext w:val="0"/>
        <w:keepLines w:val="0"/>
        <w:pageBreakBefore w:val="0"/>
        <w:widowControl w:val="0"/>
        <w:numPr>
          <w:ilvl w:val="0"/>
          <w:numId w:val="0"/>
        </w:numPr>
        <w:kinsoku/>
        <w:wordWrap/>
        <w:overflowPunct/>
        <w:topLinePunct w:val="0"/>
        <w:autoSpaceDE/>
        <w:autoSpaceDN/>
        <w:bidi w:val="0"/>
        <w:adjustRightInd/>
        <w:snapToGrid w:val="0"/>
        <w:spacing w:line="360" w:lineRule="auto"/>
        <w:ind w:firstLine="480" w:firstLineChars="200"/>
        <w:jc w:val="both"/>
        <w:textAlignment w:val="auto"/>
        <w:rPr>
          <w:rFonts w:hint="default"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4.乙方为特困对象提供的伙食费用不得低于每月供养经费的50%，特困对象生病住院期间如乙方未提供伙食服务需按照实际情况退给特困对象。</w:t>
      </w:r>
    </w:p>
    <w:p w14:paraId="5008A145">
      <w:pPr>
        <w:keepNext w:val="0"/>
        <w:keepLines w:val="0"/>
        <w:pageBreakBefore w:val="0"/>
        <w:widowControl w:val="0"/>
        <w:numPr>
          <w:ilvl w:val="0"/>
          <w:numId w:val="0"/>
        </w:numPr>
        <w:kinsoku/>
        <w:wordWrap/>
        <w:overflowPunct/>
        <w:topLinePunct w:val="0"/>
        <w:autoSpaceDE/>
        <w:autoSpaceDN/>
        <w:bidi w:val="0"/>
        <w:adjustRightInd/>
        <w:snapToGrid w:val="0"/>
        <w:spacing w:line="360" w:lineRule="auto"/>
        <w:ind w:firstLine="480" w:firstLineChars="200"/>
        <w:jc w:val="both"/>
        <w:textAlignment w:val="auto"/>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5.乙方有权决定养老中心的管理机构设置，并独立制订养老中心包括人事聘用、任免和奖惩在内的一切规章制度，但不得违反法律规定。</w:t>
      </w:r>
    </w:p>
    <w:p w14:paraId="4C503786">
      <w:pPr>
        <w:keepNext w:val="0"/>
        <w:keepLines w:val="0"/>
        <w:pageBreakBefore w:val="0"/>
        <w:widowControl w:val="0"/>
        <w:numPr>
          <w:ilvl w:val="0"/>
          <w:numId w:val="0"/>
        </w:numPr>
        <w:kinsoku/>
        <w:wordWrap/>
        <w:overflowPunct/>
        <w:topLinePunct w:val="0"/>
        <w:autoSpaceDE/>
        <w:autoSpaceDN/>
        <w:bidi w:val="0"/>
        <w:adjustRightInd/>
        <w:snapToGrid w:val="0"/>
        <w:spacing w:line="360" w:lineRule="auto"/>
        <w:ind w:firstLine="480" w:firstLineChars="200"/>
        <w:jc w:val="both"/>
        <w:textAlignment w:val="auto"/>
        <w:rPr>
          <w:rFonts w:hint="default"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6.合作期间产生的水费、电费、燃气费、电视电话上网费、日常杂支费、设备维护费，由乙方承担，并按规定及时缴纳，并按照财务要求作好帐册备查。</w:t>
      </w:r>
    </w:p>
    <w:p w14:paraId="68A766F6">
      <w:pPr>
        <w:keepNext w:val="0"/>
        <w:keepLines w:val="0"/>
        <w:pageBreakBefore w:val="0"/>
        <w:widowControl w:val="0"/>
        <w:numPr>
          <w:ilvl w:val="0"/>
          <w:numId w:val="0"/>
        </w:numPr>
        <w:kinsoku/>
        <w:wordWrap/>
        <w:overflowPunct/>
        <w:topLinePunct w:val="0"/>
        <w:autoSpaceDE/>
        <w:autoSpaceDN/>
        <w:bidi w:val="0"/>
        <w:adjustRightInd/>
        <w:snapToGrid w:val="0"/>
        <w:spacing w:line="360" w:lineRule="auto"/>
        <w:ind w:firstLine="480" w:firstLineChars="200"/>
        <w:jc w:val="both"/>
        <w:textAlignment w:val="auto"/>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7.必须对甲方提供登记造册的各项设施设备进行日常维护，正常情况下发生的损坏或报废，须经甲方同意后报废。因乙方使用不当，造成建筑物以及各项设施、设备出现损毁，乙方应及时进行维修或赔偿。</w:t>
      </w:r>
    </w:p>
    <w:p w14:paraId="5C7DA745">
      <w:pPr>
        <w:keepNext w:val="0"/>
        <w:keepLines w:val="0"/>
        <w:pageBreakBefore w:val="0"/>
        <w:widowControl w:val="0"/>
        <w:numPr>
          <w:ilvl w:val="0"/>
          <w:numId w:val="0"/>
        </w:numPr>
        <w:kinsoku/>
        <w:wordWrap/>
        <w:overflowPunct/>
        <w:topLinePunct w:val="0"/>
        <w:autoSpaceDE/>
        <w:autoSpaceDN/>
        <w:bidi w:val="0"/>
        <w:adjustRightInd/>
        <w:snapToGrid w:val="0"/>
        <w:spacing w:line="360" w:lineRule="auto"/>
        <w:ind w:firstLine="480" w:firstLineChars="200"/>
        <w:jc w:val="both"/>
        <w:textAlignment w:val="auto"/>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8.乙方不得从事与养老、医疗服务无关的经营活动，不得利用养老中心项目场地从事生产、销售、经营国家规定的违禁品，不得从事任何违法活动。</w:t>
      </w:r>
    </w:p>
    <w:p w14:paraId="13330ECC">
      <w:pPr>
        <w:keepNext w:val="0"/>
        <w:keepLines w:val="0"/>
        <w:pageBreakBefore w:val="0"/>
        <w:widowControl w:val="0"/>
        <w:numPr>
          <w:ilvl w:val="0"/>
          <w:numId w:val="0"/>
        </w:numPr>
        <w:kinsoku/>
        <w:wordWrap/>
        <w:overflowPunct/>
        <w:topLinePunct w:val="0"/>
        <w:autoSpaceDE/>
        <w:autoSpaceDN/>
        <w:bidi w:val="0"/>
        <w:adjustRightInd/>
        <w:snapToGrid w:val="0"/>
        <w:spacing w:line="360" w:lineRule="auto"/>
        <w:ind w:firstLine="480" w:firstLineChars="200"/>
        <w:jc w:val="both"/>
        <w:textAlignment w:val="auto"/>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9.不得以养老中心项目的经营权或固定资产向第三方进行出租、出借、处置、转包、担保或其他有损害甲方权益的行为，不得以养老机构国有资产进行抵押、融资、贷款等活动，否则甲方有权终止本协议，由此引起的一切责任由乙方承担。</w:t>
      </w:r>
    </w:p>
    <w:p w14:paraId="2CFA6F92">
      <w:pPr>
        <w:keepNext w:val="0"/>
        <w:keepLines w:val="0"/>
        <w:pageBreakBefore w:val="0"/>
        <w:widowControl w:val="0"/>
        <w:numPr>
          <w:ilvl w:val="0"/>
          <w:numId w:val="0"/>
        </w:numPr>
        <w:kinsoku/>
        <w:wordWrap/>
        <w:overflowPunct/>
        <w:topLinePunct w:val="0"/>
        <w:autoSpaceDE/>
        <w:autoSpaceDN/>
        <w:bidi w:val="0"/>
        <w:adjustRightInd/>
        <w:snapToGrid w:val="0"/>
        <w:spacing w:line="360" w:lineRule="auto"/>
        <w:ind w:firstLine="480" w:firstLineChars="200"/>
        <w:jc w:val="both"/>
        <w:textAlignment w:val="auto"/>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10.乙方需遵守《劳动合同法》的相关规定，配备与养老服务相适应的工作人员，并定期组织工作人员进行职业道德教育、安全管理教育和业务技能培训。从事医疗、康复、社会工作等服务的专业技术人员，应持有关部门颁发的专业技术等级证书上岗。乙方有权对员工实行自主聘用和管理，但对儒林镇当地居民同等条件下优先录用，并负责员工的工资、保险以及其他所需的费用。</w:t>
      </w:r>
    </w:p>
    <w:p w14:paraId="12FBEF2E">
      <w:pPr>
        <w:keepNext w:val="0"/>
        <w:keepLines w:val="0"/>
        <w:pageBreakBefore w:val="0"/>
        <w:widowControl w:val="0"/>
        <w:numPr>
          <w:ilvl w:val="0"/>
          <w:numId w:val="0"/>
        </w:numPr>
        <w:kinsoku/>
        <w:wordWrap/>
        <w:overflowPunct/>
        <w:topLinePunct w:val="0"/>
        <w:autoSpaceDE/>
        <w:autoSpaceDN/>
        <w:bidi w:val="0"/>
        <w:adjustRightInd/>
        <w:snapToGrid w:val="0"/>
        <w:spacing w:line="360" w:lineRule="auto"/>
        <w:ind w:firstLine="480" w:firstLineChars="200"/>
        <w:jc w:val="both"/>
        <w:textAlignment w:val="auto"/>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11.在合作期间，负责入住老年人日常管理，独立承担有关责任。乙方需做好合作期间的安全防范措施，预防各类事故的发生，如发生包括老年人意外在内的安全事故，责任由乙方承担，甲方不承担责任。如发生伤亡事故则应由乙方负责赔偿，如有保险，也可按相关规定由保险公司先行赔偿，不足部分由乙方及时补足。但本合同另有约定的，从其约定。</w:t>
      </w:r>
    </w:p>
    <w:p w14:paraId="711F4286">
      <w:pPr>
        <w:keepNext w:val="0"/>
        <w:keepLines w:val="0"/>
        <w:pageBreakBefore w:val="0"/>
        <w:widowControl w:val="0"/>
        <w:numPr>
          <w:ilvl w:val="0"/>
          <w:numId w:val="0"/>
        </w:numPr>
        <w:kinsoku/>
        <w:wordWrap/>
        <w:overflowPunct/>
        <w:topLinePunct w:val="0"/>
        <w:autoSpaceDE/>
        <w:autoSpaceDN/>
        <w:bidi w:val="0"/>
        <w:adjustRightInd/>
        <w:snapToGrid w:val="0"/>
        <w:spacing w:line="360" w:lineRule="auto"/>
        <w:ind w:firstLine="480" w:firstLineChars="200"/>
        <w:jc w:val="both"/>
        <w:textAlignment w:val="auto"/>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12.乙方合作期内所发生的债权、债务，由乙方享有或承担，如导致甲方损失的，乙方应向甲方承担赔偿责任。</w:t>
      </w:r>
    </w:p>
    <w:p w14:paraId="74E73917">
      <w:pPr>
        <w:keepNext w:val="0"/>
        <w:keepLines w:val="0"/>
        <w:pageBreakBefore w:val="0"/>
        <w:widowControl w:val="0"/>
        <w:numPr>
          <w:ilvl w:val="0"/>
          <w:numId w:val="0"/>
        </w:numPr>
        <w:kinsoku/>
        <w:wordWrap/>
        <w:overflowPunct/>
        <w:topLinePunct w:val="0"/>
        <w:autoSpaceDE/>
        <w:autoSpaceDN/>
        <w:bidi w:val="0"/>
        <w:adjustRightInd/>
        <w:snapToGrid w:val="0"/>
        <w:spacing w:line="360" w:lineRule="auto"/>
        <w:ind w:firstLine="480" w:firstLineChars="200"/>
        <w:jc w:val="both"/>
        <w:textAlignment w:val="auto"/>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13.乙方合作期间，乙方对外收费、采购、签订合同、人事聘用，一律使用乙方公司的公章，不得以“儒林镇综合养老服务中心”名义对外收费或签订合同。</w:t>
      </w:r>
    </w:p>
    <w:p w14:paraId="62DD4B21">
      <w:pPr>
        <w:keepNext w:val="0"/>
        <w:keepLines w:val="0"/>
        <w:pageBreakBefore w:val="0"/>
        <w:widowControl w:val="0"/>
        <w:numPr>
          <w:ilvl w:val="0"/>
          <w:numId w:val="0"/>
        </w:numPr>
        <w:kinsoku/>
        <w:wordWrap/>
        <w:overflowPunct/>
        <w:topLinePunct w:val="0"/>
        <w:autoSpaceDE/>
        <w:autoSpaceDN/>
        <w:bidi w:val="0"/>
        <w:adjustRightInd/>
        <w:snapToGrid w:val="0"/>
        <w:spacing w:line="360" w:lineRule="auto"/>
        <w:ind w:firstLine="480" w:firstLineChars="200"/>
        <w:jc w:val="both"/>
        <w:textAlignment w:val="auto"/>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14.如遇社会爱心个人或者企业向养老中心捐赠，乙方做好公示后发放到老人手中。</w:t>
      </w:r>
    </w:p>
    <w:p w14:paraId="3DBC7351">
      <w:pPr>
        <w:keepNext w:val="0"/>
        <w:keepLines w:val="0"/>
        <w:pageBreakBefore w:val="0"/>
        <w:widowControl w:val="0"/>
        <w:numPr>
          <w:ilvl w:val="0"/>
          <w:numId w:val="0"/>
        </w:numPr>
        <w:kinsoku/>
        <w:wordWrap/>
        <w:overflowPunct/>
        <w:topLinePunct w:val="0"/>
        <w:autoSpaceDE/>
        <w:autoSpaceDN/>
        <w:bidi w:val="0"/>
        <w:adjustRightInd/>
        <w:snapToGrid w:val="0"/>
        <w:spacing w:line="360" w:lineRule="auto"/>
        <w:ind w:firstLine="480" w:firstLineChars="200"/>
        <w:jc w:val="both"/>
        <w:textAlignment w:val="auto"/>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15.乙方违反法律法规导致的损害，由乙方承担相应的赔偿责任。</w:t>
      </w:r>
    </w:p>
    <w:p w14:paraId="0D3E3F90">
      <w:pPr>
        <w:keepNext w:val="0"/>
        <w:keepLines w:val="0"/>
        <w:pageBreakBefore w:val="0"/>
        <w:widowControl w:val="0"/>
        <w:numPr>
          <w:ilvl w:val="0"/>
          <w:numId w:val="0"/>
        </w:numPr>
        <w:kinsoku/>
        <w:wordWrap/>
        <w:overflowPunct/>
        <w:topLinePunct w:val="0"/>
        <w:autoSpaceDE/>
        <w:autoSpaceDN/>
        <w:bidi w:val="0"/>
        <w:adjustRightInd/>
        <w:snapToGrid w:val="0"/>
        <w:spacing w:line="360" w:lineRule="auto"/>
        <w:ind w:firstLine="480" w:firstLineChars="200"/>
        <w:jc w:val="both"/>
        <w:textAlignment w:val="auto"/>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16.政策法规规定应承担的其它责任。</w:t>
      </w:r>
    </w:p>
    <w:p w14:paraId="46309784">
      <w:pPr>
        <w:keepNext w:val="0"/>
        <w:keepLines w:val="0"/>
        <w:pageBreakBefore w:val="0"/>
        <w:widowControl w:val="0"/>
        <w:kinsoku/>
        <w:wordWrap/>
        <w:overflowPunct w:val="0"/>
        <w:topLinePunct w:val="0"/>
        <w:autoSpaceDE/>
        <w:autoSpaceDN/>
        <w:bidi w:val="0"/>
        <w:adjustRightInd w:val="0"/>
        <w:snapToGrid w:val="0"/>
        <w:spacing w:line="360" w:lineRule="auto"/>
        <w:ind w:firstLine="480" w:firstLineChars="200"/>
        <w:textAlignment w:val="auto"/>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第七条 监督考核</w:t>
      </w:r>
    </w:p>
    <w:p w14:paraId="62AB1B31">
      <w:pPr>
        <w:keepNext w:val="0"/>
        <w:keepLines w:val="0"/>
        <w:pageBreakBefore w:val="0"/>
        <w:widowControl w:val="0"/>
        <w:kinsoku/>
        <w:wordWrap/>
        <w:overflowPunct w:val="0"/>
        <w:topLinePunct w:val="0"/>
        <w:autoSpaceDE/>
        <w:autoSpaceDN/>
        <w:bidi w:val="0"/>
        <w:adjustRightInd w:val="0"/>
        <w:snapToGrid w:val="0"/>
        <w:spacing w:line="360" w:lineRule="auto"/>
        <w:ind w:firstLine="480" w:firstLineChars="200"/>
        <w:textAlignment w:val="auto"/>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甲方对乙方养老服务进行季度检查、年度考核，当季检查发生一般性事故、有效投诉3次以上、老人满意度测评不足60%、专项检查中被民政（卫生、应急、消防）等职能部门通报等情况的，乙方在规定时间内未整改到位的，视情节轻重，乙方下年度租金上浮10%或20%（免除租金的年份，按年租金2万元标准计算，乙方支付给甲方）。</w:t>
      </w:r>
    </w:p>
    <w:p w14:paraId="0CC05EF7">
      <w:pPr>
        <w:keepNext w:val="0"/>
        <w:keepLines w:val="0"/>
        <w:pageBreakBefore w:val="0"/>
        <w:widowControl w:val="0"/>
        <w:kinsoku/>
        <w:wordWrap/>
        <w:overflowPunct w:val="0"/>
        <w:topLinePunct w:val="0"/>
        <w:autoSpaceDE/>
        <w:autoSpaceDN/>
        <w:bidi w:val="0"/>
        <w:adjustRightInd w:val="0"/>
        <w:snapToGrid w:val="0"/>
        <w:spacing w:line="360" w:lineRule="auto"/>
        <w:ind w:firstLine="480" w:firstLineChars="200"/>
        <w:textAlignment w:val="auto"/>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乙方如在合同期内，发生重大安全事故且造成恶劣影响的，所有后果（包括在院老人的安置照料）由乙方承担，甲方有权解除合同，解除合同通知至送达乙方之日起生效。装修和改造设施，由第三方机构评估残值，按照甲乙双方投入比例结算，乙方不得私自拆除。</w:t>
      </w:r>
    </w:p>
    <w:p w14:paraId="096372BF">
      <w:pPr>
        <w:keepNext w:val="0"/>
        <w:keepLines w:val="0"/>
        <w:pageBreakBefore w:val="0"/>
        <w:widowControl w:val="0"/>
        <w:kinsoku/>
        <w:wordWrap/>
        <w:overflowPunct w:val="0"/>
        <w:topLinePunct w:val="0"/>
        <w:autoSpaceDE/>
        <w:autoSpaceDN/>
        <w:bidi w:val="0"/>
        <w:adjustRightInd w:val="0"/>
        <w:snapToGrid w:val="0"/>
        <w:spacing w:line="360" w:lineRule="auto"/>
        <w:ind w:firstLine="480" w:firstLineChars="200"/>
        <w:textAlignment w:val="auto"/>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第八条 转让和分包</w:t>
      </w:r>
    </w:p>
    <w:p w14:paraId="02510413">
      <w:pPr>
        <w:keepNext w:val="0"/>
        <w:keepLines w:val="0"/>
        <w:pageBreakBefore w:val="0"/>
        <w:widowControl w:val="0"/>
        <w:kinsoku/>
        <w:wordWrap/>
        <w:overflowPunct w:val="0"/>
        <w:topLinePunct w:val="0"/>
        <w:autoSpaceDE/>
        <w:autoSpaceDN/>
        <w:bidi w:val="0"/>
        <w:adjustRightInd w:val="0"/>
        <w:snapToGrid w:val="0"/>
        <w:spacing w:line="360" w:lineRule="auto"/>
        <w:ind w:firstLine="480" w:firstLineChars="200"/>
        <w:textAlignment w:val="auto"/>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本合同不得转让和分包。</w:t>
      </w:r>
    </w:p>
    <w:p w14:paraId="509F6318">
      <w:pPr>
        <w:keepNext w:val="0"/>
        <w:keepLines w:val="0"/>
        <w:pageBreakBefore w:val="0"/>
        <w:widowControl w:val="0"/>
        <w:kinsoku/>
        <w:wordWrap/>
        <w:overflowPunct w:val="0"/>
        <w:topLinePunct w:val="0"/>
        <w:autoSpaceDE/>
        <w:autoSpaceDN/>
        <w:bidi w:val="0"/>
        <w:adjustRightInd w:val="0"/>
        <w:snapToGrid w:val="0"/>
        <w:spacing w:line="360" w:lineRule="auto"/>
        <w:ind w:firstLine="480" w:firstLineChars="200"/>
        <w:textAlignment w:val="auto"/>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第九条 违约责任</w:t>
      </w:r>
    </w:p>
    <w:p w14:paraId="7FA22C7B">
      <w:pPr>
        <w:keepNext w:val="0"/>
        <w:keepLines w:val="0"/>
        <w:pageBreakBefore w:val="0"/>
        <w:widowControl w:val="0"/>
        <w:kinsoku/>
        <w:wordWrap/>
        <w:overflowPunct w:val="0"/>
        <w:topLinePunct w:val="0"/>
        <w:autoSpaceDE/>
        <w:autoSpaceDN/>
        <w:bidi w:val="0"/>
        <w:adjustRightInd w:val="0"/>
        <w:snapToGrid w:val="0"/>
        <w:spacing w:line="360" w:lineRule="auto"/>
        <w:ind w:firstLine="480" w:firstLineChars="200"/>
        <w:textAlignment w:val="auto"/>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1.未经双方同意，任何一方中途解除合同，视为违约。凡因违约给对方造成的损失，应由违约方按照实际损失进行赔偿。</w:t>
      </w:r>
    </w:p>
    <w:p w14:paraId="38E9C249">
      <w:pPr>
        <w:keepNext w:val="0"/>
        <w:keepLines w:val="0"/>
        <w:pageBreakBefore w:val="0"/>
        <w:widowControl w:val="0"/>
        <w:kinsoku/>
        <w:wordWrap/>
        <w:overflowPunct w:val="0"/>
        <w:topLinePunct w:val="0"/>
        <w:autoSpaceDE/>
        <w:autoSpaceDN/>
        <w:bidi w:val="0"/>
        <w:adjustRightInd w:val="0"/>
        <w:snapToGrid w:val="0"/>
        <w:spacing w:line="360" w:lineRule="auto"/>
        <w:ind w:firstLine="480" w:firstLineChars="200"/>
        <w:textAlignment w:val="auto"/>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2.甲方违反本协议约定干扰乙方管理，给乙方造成损失的，应承担相应的赔偿责任。</w:t>
      </w:r>
    </w:p>
    <w:p w14:paraId="5DAA8051">
      <w:pPr>
        <w:keepNext w:val="0"/>
        <w:keepLines w:val="0"/>
        <w:pageBreakBefore w:val="0"/>
        <w:widowControl w:val="0"/>
        <w:kinsoku/>
        <w:wordWrap/>
        <w:overflowPunct w:val="0"/>
        <w:topLinePunct w:val="0"/>
        <w:autoSpaceDE/>
        <w:autoSpaceDN/>
        <w:bidi w:val="0"/>
        <w:adjustRightInd w:val="0"/>
        <w:snapToGrid w:val="0"/>
        <w:spacing w:line="360" w:lineRule="auto"/>
        <w:ind w:firstLine="480" w:firstLineChars="200"/>
        <w:textAlignment w:val="auto"/>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3.乙方如违反本协议约定，甲方有权要求乙方进行整改，如乙方未按要求整改，甲方有权解除本协议，甲方有权要求乙方赔偿给甲方及服务对象所造成的全部损失。</w:t>
      </w:r>
    </w:p>
    <w:p w14:paraId="6E7E6FAC">
      <w:pPr>
        <w:keepNext w:val="0"/>
        <w:keepLines w:val="0"/>
        <w:pageBreakBefore w:val="0"/>
        <w:widowControl w:val="0"/>
        <w:kinsoku/>
        <w:wordWrap/>
        <w:overflowPunct w:val="0"/>
        <w:topLinePunct w:val="0"/>
        <w:autoSpaceDE/>
        <w:autoSpaceDN/>
        <w:bidi w:val="0"/>
        <w:adjustRightInd w:val="0"/>
        <w:snapToGrid w:val="0"/>
        <w:spacing w:line="360" w:lineRule="auto"/>
        <w:ind w:firstLine="480" w:firstLineChars="200"/>
        <w:textAlignment w:val="auto"/>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4.乙方未按时足额支付相关费用（包括但不限于租金、水电气费、特困对象费用等）达30日以上（含30日）的，且经甲方两次向乙方催付未果的，甲方有权解除本合同。</w:t>
      </w:r>
    </w:p>
    <w:p w14:paraId="38DB898D">
      <w:pPr>
        <w:keepNext w:val="0"/>
        <w:keepLines w:val="0"/>
        <w:pageBreakBefore w:val="0"/>
        <w:widowControl w:val="0"/>
        <w:kinsoku/>
        <w:wordWrap/>
        <w:overflowPunct w:val="0"/>
        <w:topLinePunct w:val="0"/>
        <w:autoSpaceDE/>
        <w:autoSpaceDN/>
        <w:bidi w:val="0"/>
        <w:adjustRightInd w:val="0"/>
        <w:snapToGrid w:val="0"/>
        <w:spacing w:line="360" w:lineRule="auto"/>
        <w:ind w:firstLine="480" w:firstLineChars="200"/>
        <w:textAlignment w:val="auto"/>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5.乙方不得利用养老中心从事违法、损害社会公共利益或违背公序良俗的活动，否则视为其违约，甲方有权解除本合同，并追究乙方的违约责任。</w:t>
      </w:r>
    </w:p>
    <w:p w14:paraId="33A53BDC">
      <w:pPr>
        <w:keepNext w:val="0"/>
        <w:keepLines w:val="0"/>
        <w:pageBreakBefore w:val="0"/>
        <w:widowControl w:val="0"/>
        <w:kinsoku/>
        <w:wordWrap/>
        <w:overflowPunct w:val="0"/>
        <w:topLinePunct w:val="0"/>
        <w:autoSpaceDE/>
        <w:autoSpaceDN/>
        <w:bidi w:val="0"/>
        <w:adjustRightInd w:val="0"/>
        <w:snapToGrid w:val="0"/>
        <w:spacing w:line="360" w:lineRule="auto"/>
        <w:ind w:firstLine="480" w:firstLineChars="200"/>
        <w:textAlignment w:val="auto"/>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第九条 其他约定</w:t>
      </w:r>
    </w:p>
    <w:p w14:paraId="62540BB1">
      <w:pPr>
        <w:keepNext w:val="0"/>
        <w:keepLines w:val="0"/>
        <w:pageBreakBefore w:val="0"/>
        <w:widowControl w:val="0"/>
        <w:kinsoku/>
        <w:wordWrap/>
        <w:overflowPunct w:val="0"/>
        <w:topLinePunct w:val="0"/>
        <w:autoSpaceDE/>
        <w:autoSpaceDN/>
        <w:bidi w:val="0"/>
        <w:adjustRightInd w:val="0"/>
        <w:snapToGrid w:val="0"/>
        <w:spacing w:line="360" w:lineRule="auto"/>
        <w:ind w:firstLine="480" w:firstLineChars="200"/>
        <w:textAlignment w:val="auto"/>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1.本协议如发生争议，由甲乙双方协商解决，协商不成的，可向常州市金坛区人民法院提起诉讼。</w:t>
      </w:r>
    </w:p>
    <w:p w14:paraId="349EB1C9">
      <w:pPr>
        <w:keepNext w:val="0"/>
        <w:keepLines w:val="0"/>
        <w:pageBreakBefore w:val="0"/>
        <w:widowControl w:val="0"/>
        <w:kinsoku/>
        <w:wordWrap/>
        <w:overflowPunct w:val="0"/>
        <w:topLinePunct w:val="0"/>
        <w:autoSpaceDE/>
        <w:autoSpaceDN/>
        <w:bidi w:val="0"/>
        <w:adjustRightInd w:val="0"/>
        <w:snapToGrid w:val="0"/>
        <w:spacing w:line="360" w:lineRule="auto"/>
        <w:ind w:firstLine="480" w:firstLineChars="200"/>
        <w:textAlignment w:val="auto"/>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2.项目若遇整体规划需求或征用、拆迁等事项（以政府或职能部门文件为准），甲方需提前6个月书面通知乙方，乙方添加的可移动设施设备，乙方有权自行处理，与房屋装修等附属价值有关的征用补偿，由甲乙双方协商双方应获得的赔偿数额。如遇其他不可抗力因素等影响，无法继续履行本合同的，经各方协商一致，可以变更、解除或者终止合同，损失由各自承担。</w:t>
      </w:r>
    </w:p>
    <w:p w14:paraId="1410C194">
      <w:pPr>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3.本合同须经甲、乙双方法定代表人或代理人签字或盖章，并经加盖双方单位公章后生效。</w:t>
      </w:r>
    </w:p>
    <w:p w14:paraId="441323EB">
      <w:pPr>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4.乙方有效的营业执照以及本合同签字或盖章的乙方人员的身份证（复印件各一份）作为本合同附件交由甲方存档。</w:t>
      </w:r>
    </w:p>
    <w:p w14:paraId="542DFA6C">
      <w:pPr>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5.本协议未尽事宜，甲、乙双方通过友好协商解决。</w:t>
      </w:r>
    </w:p>
    <w:p w14:paraId="3BA6E264">
      <w:pPr>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rPr>
          <w:rFonts w:hint="eastAsia" w:ascii="宋体" w:hAnsi="宋体" w:eastAsia="宋体" w:cs="宋体"/>
          <w:color w:val="auto"/>
          <w:kern w:val="2"/>
          <w:sz w:val="24"/>
          <w:szCs w:val="24"/>
          <w:lang w:val="en-US" w:eastAsia="zh-CN" w:bidi="ar-SA"/>
        </w:rPr>
      </w:pPr>
      <w:r>
        <w:rPr>
          <w:rFonts w:hint="eastAsia" w:ascii="宋体" w:hAnsi="宋体" w:eastAsia="宋体" w:cs="宋体"/>
          <w:color w:val="auto"/>
          <w:kern w:val="2"/>
          <w:sz w:val="24"/>
          <w:szCs w:val="24"/>
          <w:lang w:val="en-US" w:eastAsia="zh-CN" w:bidi="ar-SA"/>
        </w:rPr>
        <w:t>6、本协议自双方签字盖章之日起生效，本协议一式捌份，甲、乙双方各持贰份，报区民政局壹份及代理公司持叁份。</w:t>
      </w:r>
    </w:p>
    <w:p w14:paraId="32DEB610">
      <w:pPr>
        <w:spacing w:line="480" w:lineRule="exact"/>
        <w:rPr>
          <w:rFonts w:hint="eastAsia" w:ascii="宋体" w:hAnsi="宋体" w:eastAsia="宋体" w:cs="宋体"/>
          <w:color w:val="auto"/>
          <w:kern w:val="2"/>
          <w:sz w:val="24"/>
          <w:szCs w:val="24"/>
          <w:lang w:val="en-US" w:eastAsia="zh-CN" w:bidi="ar-SA"/>
        </w:rPr>
      </w:pPr>
    </w:p>
    <w:p w14:paraId="66823366">
      <w:pPr>
        <w:spacing w:line="480" w:lineRule="exact"/>
        <w:rPr>
          <w:rFonts w:hint="eastAsia" w:ascii="宋体" w:hAnsi="宋体" w:eastAsia="宋体" w:cs="宋体"/>
          <w:color w:val="auto"/>
          <w:kern w:val="2"/>
          <w:sz w:val="24"/>
          <w:szCs w:val="24"/>
        </w:rPr>
      </w:pPr>
      <w:r>
        <w:rPr>
          <w:rFonts w:hint="eastAsia" w:ascii="宋体" w:hAnsi="宋体" w:eastAsia="宋体" w:cs="宋体"/>
          <w:color w:val="auto"/>
          <w:kern w:val="2"/>
          <w:sz w:val="24"/>
          <w:szCs w:val="24"/>
        </w:rPr>
        <w:t xml:space="preserve">甲方（公章）：                   </w:t>
      </w:r>
      <w:r>
        <w:rPr>
          <w:rFonts w:hint="eastAsia" w:ascii="宋体" w:hAnsi="宋体" w:eastAsia="宋体" w:cs="宋体"/>
          <w:color w:val="auto"/>
          <w:kern w:val="2"/>
          <w:sz w:val="24"/>
          <w:szCs w:val="24"/>
          <w:lang w:val="en-US" w:eastAsia="zh-CN"/>
        </w:rPr>
        <w:t xml:space="preserve">        </w:t>
      </w:r>
      <w:r>
        <w:rPr>
          <w:rFonts w:hint="eastAsia" w:ascii="宋体" w:hAnsi="宋体" w:eastAsia="宋体" w:cs="宋体"/>
          <w:color w:val="auto"/>
          <w:kern w:val="2"/>
          <w:sz w:val="24"/>
          <w:szCs w:val="24"/>
        </w:rPr>
        <w:t xml:space="preserve"> 乙方（公章）：</w:t>
      </w:r>
    </w:p>
    <w:p w14:paraId="47FB874E">
      <w:pPr>
        <w:spacing w:line="480" w:lineRule="exact"/>
        <w:rPr>
          <w:rFonts w:hint="eastAsia" w:ascii="宋体" w:hAnsi="宋体" w:eastAsia="宋体" w:cs="宋体"/>
          <w:color w:val="auto"/>
          <w:kern w:val="2"/>
          <w:sz w:val="24"/>
          <w:szCs w:val="24"/>
        </w:rPr>
      </w:pPr>
      <w:r>
        <w:rPr>
          <w:rFonts w:hint="eastAsia" w:ascii="宋体" w:hAnsi="宋体" w:eastAsia="宋体" w:cs="宋体"/>
          <w:color w:val="auto"/>
          <w:kern w:val="2"/>
          <w:sz w:val="24"/>
          <w:szCs w:val="24"/>
        </w:rPr>
        <w:t xml:space="preserve">法定代表或授权人签字：          </w:t>
      </w:r>
      <w:r>
        <w:rPr>
          <w:rFonts w:hint="eastAsia" w:ascii="宋体" w:hAnsi="宋体" w:eastAsia="宋体" w:cs="宋体"/>
          <w:color w:val="auto"/>
          <w:kern w:val="2"/>
          <w:sz w:val="24"/>
          <w:szCs w:val="24"/>
          <w:lang w:val="en-US" w:eastAsia="zh-CN"/>
        </w:rPr>
        <w:t xml:space="preserve">        </w:t>
      </w:r>
      <w:r>
        <w:rPr>
          <w:rFonts w:hint="eastAsia" w:ascii="宋体" w:hAnsi="宋体" w:eastAsia="宋体" w:cs="宋体"/>
          <w:color w:val="auto"/>
          <w:kern w:val="2"/>
          <w:sz w:val="24"/>
          <w:szCs w:val="24"/>
        </w:rPr>
        <w:t xml:space="preserve"> 法定代表或授权人签字：                        </w:t>
      </w:r>
    </w:p>
    <w:p w14:paraId="7D780308">
      <w:pPr>
        <w:spacing w:line="480" w:lineRule="exact"/>
        <w:rPr>
          <w:rFonts w:hint="eastAsia" w:ascii="宋体" w:hAnsi="宋体" w:eastAsia="宋体" w:cs="宋体"/>
          <w:color w:val="auto"/>
          <w:kern w:val="2"/>
          <w:sz w:val="24"/>
          <w:szCs w:val="24"/>
        </w:rPr>
      </w:pPr>
      <w:r>
        <w:rPr>
          <w:rFonts w:hint="eastAsia" w:ascii="宋体" w:hAnsi="宋体" w:eastAsia="宋体" w:cs="宋体"/>
          <w:color w:val="auto"/>
          <w:kern w:val="2"/>
          <w:sz w:val="24"/>
          <w:szCs w:val="24"/>
        </w:rPr>
        <w:t xml:space="preserve">日期：     年  </w:t>
      </w:r>
      <w:r>
        <w:rPr>
          <w:rFonts w:hint="eastAsia" w:ascii="宋体" w:hAnsi="宋体" w:eastAsia="宋体" w:cs="宋体"/>
          <w:color w:val="auto"/>
          <w:kern w:val="2"/>
          <w:sz w:val="24"/>
          <w:szCs w:val="24"/>
          <w:lang w:val="en-US" w:eastAsia="zh-CN"/>
        </w:rPr>
        <w:t xml:space="preserve"> </w:t>
      </w:r>
      <w:r>
        <w:rPr>
          <w:rFonts w:hint="eastAsia" w:ascii="宋体" w:hAnsi="宋体" w:eastAsia="宋体" w:cs="宋体"/>
          <w:color w:val="auto"/>
          <w:kern w:val="2"/>
          <w:sz w:val="24"/>
          <w:szCs w:val="24"/>
        </w:rPr>
        <w:t xml:space="preserve">月 </w:t>
      </w:r>
      <w:r>
        <w:rPr>
          <w:rFonts w:hint="eastAsia" w:ascii="宋体" w:hAnsi="宋体" w:eastAsia="宋体" w:cs="宋体"/>
          <w:color w:val="auto"/>
          <w:kern w:val="2"/>
          <w:sz w:val="24"/>
          <w:szCs w:val="24"/>
          <w:lang w:val="en-US" w:eastAsia="zh-CN"/>
        </w:rPr>
        <w:t xml:space="preserve"> </w:t>
      </w:r>
      <w:r>
        <w:rPr>
          <w:rFonts w:hint="eastAsia" w:ascii="宋体" w:hAnsi="宋体" w:eastAsia="宋体" w:cs="宋体"/>
          <w:color w:val="auto"/>
          <w:kern w:val="2"/>
          <w:sz w:val="24"/>
          <w:szCs w:val="24"/>
        </w:rPr>
        <w:t xml:space="preserve"> 日                 </w:t>
      </w:r>
      <w:r>
        <w:rPr>
          <w:rFonts w:hint="eastAsia" w:ascii="宋体" w:hAnsi="宋体" w:eastAsia="宋体" w:cs="宋体"/>
          <w:color w:val="auto"/>
          <w:kern w:val="2"/>
          <w:sz w:val="24"/>
          <w:szCs w:val="24"/>
          <w:lang w:val="en-US" w:eastAsia="zh-CN"/>
        </w:rPr>
        <w:t xml:space="preserve"> </w:t>
      </w:r>
      <w:r>
        <w:rPr>
          <w:rFonts w:hint="eastAsia" w:ascii="宋体" w:hAnsi="宋体" w:eastAsia="宋体" w:cs="宋体"/>
          <w:color w:val="auto"/>
          <w:kern w:val="2"/>
          <w:sz w:val="24"/>
          <w:szCs w:val="24"/>
        </w:rPr>
        <w:t xml:space="preserve">日期：     年 </w:t>
      </w:r>
      <w:r>
        <w:rPr>
          <w:rFonts w:hint="eastAsia" w:ascii="宋体" w:hAnsi="宋体" w:eastAsia="宋体" w:cs="宋体"/>
          <w:color w:val="auto"/>
          <w:kern w:val="2"/>
          <w:sz w:val="24"/>
          <w:szCs w:val="24"/>
          <w:lang w:val="en-US" w:eastAsia="zh-CN"/>
        </w:rPr>
        <w:t xml:space="preserve">  </w:t>
      </w:r>
      <w:r>
        <w:rPr>
          <w:rFonts w:hint="eastAsia" w:ascii="宋体" w:hAnsi="宋体" w:eastAsia="宋体" w:cs="宋体"/>
          <w:color w:val="auto"/>
          <w:kern w:val="2"/>
          <w:sz w:val="24"/>
          <w:szCs w:val="24"/>
        </w:rPr>
        <w:t xml:space="preserve"> 月 </w:t>
      </w:r>
      <w:r>
        <w:rPr>
          <w:rFonts w:hint="eastAsia" w:ascii="宋体" w:hAnsi="宋体" w:eastAsia="宋体" w:cs="宋体"/>
          <w:color w:val="auto"/>
          <w:kern w:val="2"/>
          <w:sz w:val="24"/>
          <w:szCs w:val="24"/>
          <w:lang w:val="en-US" w:eastAsia="zh-CN"/>
        </w:rPr>
        <w:t xml:space="preserve">  </w:t>
      </w:r>
      <w:r>
        <w:rPr>
          <w:rFonts w:hint="eastAsia" w:ascii="宋体" w:hAnsi="宋体" w:eastAsia="宋体" w:cs="宋体"/>
          <w:color w:val="auto"/>
          <w:kern w:val="2"/>
          <w:sz w:val="24"/>
          <w:szCs w:val="24"/>
        </w:rPr>
        <w:t xml:space="preserve"> 日</w:t>
      </w:r>
    </w:p>
    <w:p w14:paraId="682F8947">
      <w:pPr>
        <w:rPr>
          <w:rFonts w:hint="default" w:ascii="Times New Roman" w:hAnsi="Times New Roman" w:eastAsia="宋体" w:cs="Times New Roman"/>
          <w:kern w:val="2"/>
        </w:rPr>
      </w:pPr>
    </w:p>
    <w:p w14:paraId="5C29CC55">
      <w:pPr>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br w:type="page"/>
      </w:r>
    </w:p>
    <w:p w14:paraId="23672B90">
      <w:pPr>
        <w:pageBreakBefore w:val="0"/>
        <w:jc w:val="center"/>
        <w:rPr>
          <w:rFonts w:hint="eastAsia" w:ascii="宋体" w:hAnsi="宋体" w:eastAsia="宋体" w:cs="宋体"/>
          <w:b/>
          <w:bCs/>
          <w:color w:val="000000"/>
          <w:sz w:val="28"/>
          <w:szCs w:val="28"/>
          <w:highlight w:val="none"/>
        </w:rPr>
      </w:pPr>
      <w:r>
        <w:rPr>
          <w:rFonts w:hint="eastAsia" w:ascii="宋体" w:hAnsi="宋体" w:eastAsia="宋体" w:cs="宋体"/>
          <w:b/>
          <w:color w:val="000000"/>
          <w:sz w:val="28"/>
          <w:szCs w:val="28"/>
          <w:highlight w:val="none"/>
        </w:rPr>
        <w:t>廉 政 责 任 书</w:t>
      </w:r>
    </w:p>
    <w:p w14:paraId="148248EA">
      <w:pPr>
        <w:pageBreakBefore w:val="0"/>
        <w:spacing w:line="400" w:lineRule="exact"/>
        <w:ind w:left="1" w:firstLine="560"/>
        <w:rPr>
          <w:rFonts w:hint="eastAsia" w:ascii="宋体" w:hAnsi="宋体" w:eastAsia="宋体" w:cs="宋体"/>
          <w:b/>
          <w:color w:val="000000"/>
          <w:sz w:val="24"/>
          <w:szCs w:val="24"/>
          <w:highlight w:val="none"/>
        </w:rPr>
      </w:pPr>
      <w:r>
        <w:rPr>
          <w:rFonts w:hint="eastAsia" w:ascii="宋体" w:hAnsi="宋体" w:eastAsia="宋体" w:cs="宋体"/>
          <w:color w:val="000000"/>
          <w:sz w:val="24"/>
          <w:szCs w:val="24"/>
          <w:highlight w:val="none"/>
        </w:rPr>
        <w:t>项目名称：</w:t>
      </w:r>
      <w:r>
        <w:rPr>
          <w:rFonts w:hint="eastAsia" w:ascii="宋体" w:hAnsi="宋体" w:eastAsia="宋体" w:cs="宋体"/>
          <w:b/>
          <w:color w:val="000000"/>
          <w:sz w:val="24"/>
          <w:szCs w:val="24"/>
          <w:highlight w:val="none"/>
          <w:u w:val="single"/>
        </w:rPr>
        <w:t xml:space="preserve">                        </w:t>
      </w:r>
    </w:p>
    <w:p w14:paraId="1B4A8DBD">
      <w:pPr>
        <w:pageBreakBefore w:val="0"/>
        <w:spacing w:line="400" w:lineRule="exact"/>
        <w:ind w:firstLine="560"/>
        <w:rPr>
          <w:rFonts w:hint="eastAsia" w:ascii="宋体" w:hAnsi="宋体" w:eastAsia="宋体" w:cs="宋体"/>
          <w:b/>
          <w:bCs/>
          <w:color w:val="000000"/>
          <w:sz w:val="24"/>
          <w:szCs w:val="24"/>
          <w:highlight w:val="none"/>
          <w:u w:val="single"/>
        </w:rPr>
      </w:pPr>
      <w:r>
        <w:rPr>
          <w:rFonts w:hint="eastAsia" w:ascii="宋体" w:hAnsi="宋体" w:eastAsia="宋体" w:cs="宋体"/>
          <w:color w:val="000000"/>
          <w:sz w:val="24"/>
          <w:szCs w:val="24"/>
          <w:highlight w:val="none"/>
        </w:rPr>
        <w:t>合同金额：</w:t>
      </w:r>
      <w:r>
        <w:rPr>
          <w:rFonts w:hint="eastAsia" w:ascii="宋体" w:hAnsi="宋体" w:eastAsia="宋体" w:cs="宋体"/>
          <w:b/>
          <w:color w:val="000000"/>
          <w:sz w:val="24"/>
          <w:szCs w:val="24"/>
          <w:highlight w:val="none"/>
          <w:u w:val="single"/>
        </w:rPr>
        <w:t xml:space="preserve">                         </w:t>
      </w:r>
    </w:p>
    <w:p w14:paraId="5E62DB32">
      <w:pPr>
        <w:pageBreakBefore w:val="0"/>
        <w:tabs>
          <w:tab w:val="left" w:pos="1435"/>
        </w:tabs>
        <w:spacing w:line="400" w:lineRule="exact"/>
        <w:ind w:right="-178" w:firstLine="560"/>
        <w:rPr>
          <w:rFonts w:hint="eastAsia" w:ascii="宋体" w:hAnsi="宋体" w:eastAsia="宋体" w:cs="宋体"/>
          <w:b/>
          <w:bCs/>
          <w:color w:val="000000"/>
          <w:sz w:val="24"/>
          <w:szCs w:val="24"/>
          <w:highlight w:val="none"/>
          <w:u w:val="single"/>
        </w:rPr>
      </w:pPr>
      <w:r>
        <w:rPr>
          <w:rFonts w:hint="eastAsia" w:ascii="宋体" w:hAnsi="宋体" w:eastAsia="宋体" w:cs="宋体"/>
          <w:color w:val="000000"/>
          <w:sz w:val="24"/>
          <w:szCs w:val="24"/>
          <w:highlight w:val="none"/>
        </w:rPr>
        <w:t>工程项目地址：</w:t>
      </w:r>
      <w:r>
        <w:rPr>
          <w:rFonts w:hint="eastAsia" w:ascii="宋体" w:hAnsi="宋体" w:eastAsia="宋体" w:cs="宋体"/>
          <w:b/>
          <w:color w:val="000000"/>
          <w:sz w:val="24"/>
          <w:szCs w:val="24"/>
          <w:highlight w:val="none"/>
          <w:u w:val="single"/>
        </w:rPr>
        <w:t xml:space="preserve">                     </w:t>
      </w:r>
    </w:p>
    <w:p w14:paraId="4DE39B15">
      <w:pPr>
        <w:pageBreakBefore w:val="0"/>
        <w:spacing w:line="400" w:lineRule="exact"/>
        <w:ind w:firstLine="56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甲方(全称)：</w:t>
      </w:r>
      <w:r>
        <w:rPr>
          <w:rFonts w:hint="eastAsia" w:ascii="宋体" w:hAnsi="宋体" w:eastAsia="宋体" w:cs="宋体"/>
          <w:color w:val="000000"/>
          <w:sz w:val="24"/>
          <w:szCs w:val="24"/>
          <w:highlight w:val="none"/>
          <w:u w:val="single"/>
        </w:rPr>
        <w:t xml:space="preserve">                      </w:t>
      </w:r>
    </w:p>
    <w:p w14:paraId="3FAFEA64">
      <w:pPr>
        <w:pageBreakBefore w:val="0"/>
        <w:spacing w:line="400" w:lineRule="exact"/>
        <w:ind w:firstLine="56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乙方(全称)： </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fldChar w:fldCharType="begin"/>
      </w:r>
      <w:r>
        <w:rPr>
          <w:rFonts w:hint="eastAsia" w:ascii="宋体" w:hAnsi="宋体" w:eastAsia="宋体" w:cs="宋体"/>
          <w:color w:val="000000"/>
          <w:sz w:val="24"/>
          <w:szCs w:val="24"/>
          <w:highlight w:val="none"/>
        </w:rPr>
        <w:instrText xml:space="preserve"> AUTOTEXT  " 空白"  \* MERGEFORMAT </w:instrText>
      </w:r>
      <w:r>
        <w:rPr>
          <w:rFonts w:hint="eastAsia" w:ascii="宋体" w:hAnsi="宋体" w:eastAsia="宋体" w:cs="宋体"/>
          <w:color w:val="000000"/>
          <w:sz w:val="24"/>
          <w:szCs w:val="24"/>
          <w:highlight w:val="none"/>
        </w:rPr>
        <w:fldChar w:fldCharType="end"/>
      </w:r>
    </w:p>
    <w:p w14:paraId="7D20307D">
      <w:pPr>
        <w:pageBreakBefore w:val="0"/>
        <w:spacing w:line="400" w:lineRule="exact"/>
        <w:ind w:firstLine="56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为进一步加强政府投资工程廉政建设，强化对工程建设领域突出问题的治理力度，从源头上预防腐败，确保工程建设优质、高效、廉洁，根据国家有关工程建设的法律法规和廉政建设有关规定，特订立本责任书。</w:t>
      </w:r>
    </w:p>
    <w:p w14:paraId="3DF06A21">
      <w:pPr>
        <w:pageBreakBefore w:val="0"/>
        <w:spacing w:line="400" w:lineRule="exact"/>
        <w:ind w:firstLine="562"/>
        <w:rPr>
          <w:rFonts w:hint="eastAsia" w:ascii="宋体" w:hAnsi="宋体" w:eastAsia="宋体" w:cs="宋体"/>
          <w:color w:val="000000"/>
          <w:sz w:val="24"/>
          <w:szCs w:val="24"/>
          <w:highlight w:val="none"/>
        </w:rPr>
      </w:pPr>
      <w:r>
        <w:rPr>
          <w:rFonts w:hint="eastAsia" w:ascii="宋体" w:hAnsi="宋体" w:eastAsia="宋体" w:cs="宋体"/>
          <w:b/>
          <w:bCs/>
          <w:color w:val="000000"/>
          <w:sz w:val="24"/>
          <w:szCs w:val="24"/>
          <w:highlight w:val="none"/>
        </w:rPr>
        <w:t>一、</w:t>
      </w:r>
      <w:r>
        <w:rPr>
          <w:rFonts w:hint="eastAsia" w:ascii="宋体" w:hAnsi="宋体" w:eastAsia="宋体" w:cs="宋体"/>
          <w:color w:val="000000"/>
          <w:sz w:val="24"/>
          <w:szCs w:val="24"/>
          <w:highlight w:val="none"/>
        </w:rPr>
        <w:t>甲乙双方的责任</w:t>
      </w:r>
    </w:p>
    <w:p w14:paraId="30FD7EEB">
      <w:pPr>
        <w:pageBreakBefore w:val="0"/>
        <w:spacing w:line="400" w:lineRule="exact"/>
        <w:ind w:firstLine="555"/>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（一）严格遵守国家关于市场准入、项目招标投标、工程建设、施工安装和市场活动等有关法律法规、相关政策,以及我市出台的有关规定。</w:t>
      </w:r>
    </w:p>
    <w:p w14:paraId="23D80E8D">
      <w:pPr>
        <w:pageBreakBefore w:val="0"/>
        <w:spacing w:line="400" w:lineRule="exact"/>
        <w:ind w:firstLine="555"/>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（二）严格执行法定建设程序。</w:t>
      </w:r>
    </w:p>
    <w:p w14:paraId="5169E4F0">
      <w:pPr>
        <w:pageBreakBefore w:val="0"/>
        <w:spacing w:line="400" w:lineRule="exact"/>
        <w:ind w:firstLine="555"/>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（三）严格执行建设工程项目承发包合同文件，自觉按合同办事。</w:t>
      </w:r>
    </w:p>
    <w:p w14:paraId="0E5DEE98">
      <w:pPr>
        <w:pageBreakBefore w:val="0"/>
        <w:spacing w:line="400" w:lineRule="exact"/>
        <w:ind w:firstLine="56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（四）业务活动必须坚持公开、公平、公正、诚信、透明的原则，不得为获取不正当的利益损害国家、集体和对方利益。</w:t>
      </w:r>
    </w:p>
    <w:p w14:paraId="0970F05D">
      <w:pPr>
        <w:pageBreakBefore w:val="0"/>
        <w:spacing w:line="400" w:lineRule="exact"/>
        <w:ind w:firstLine="555"/>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（五）发现对方在业务活动中有违规、违纪、违法行为的，应及时提醒，自觉抵制，或及时向上级主管部门、纪检监察和司法机关举报。</w:t>
      </w:r>
    </w:p>
    <w:p w14:paraId="3AF4B08A">
      <w:pPr>
        <w:pageBreakBefore w:val="0"/>
        <w:spacing w:line="400" w:lineRule="exact"/>
        <w:ind w:firstLine="555"/>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二、甲方的责任</w:t>
      </w:r>
    </w:p>
    <w:p w14:paraId="7A54E83D">
      <w:pPr>
        <w:pageBreakBefore w:val="0"/>
        <w:spacing w:line="400" w:lineRule="exact"/>
        <w:rPr>
          <w:rFonts w:hint="eastAsia" w:ascii="宋体" w:hAnsi="宋体" w:eastAsia="宋体" w:cs="宋体"/>
          <w:b/>
          <w:bCs/>
          <w:color w:val="000000"/>
          <w:sz w:val="24"/>
          <w:szCs w:val="24"/>
          <w:highlight w:val="none"/>
        </w:rPr>
      </w:pPr>
      <w:r>
        <w:rPr>
          <w:rFonts w:hint="eastAsia" w:ascii="宋体" w:hAnsi="宋体" w:eastAsia="宋体" w:cs="宋体"/>
          <w:color w:val="000000"/>
          <w:sz w:val="24"/>
          <w:szCs w:val="24"/>
          <w:highlight w:val="none"/>
        </w:rPr>
        <w:t xml:space="preserve">    甲方领导和从事该建设工程项目的工作人员，在本工程建设的全过程应遵守以下规定：</w:t>
      </w:r>
    </w:p>
    <w:p w14:paraId="03E25952">
      <w:pPr>
        <w:pageBreakBefore w:val="0"/>
        <w:spacing w:line="400" w:lineRule="exact"/>
        <w:ind w:firstLine="56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（一）公有资金投资50万元以上的工程建设项目必须进国家规定的相关部门进行招投标。</w:t>
      </w:r>
    </w:p>
    <w:p w14:paraId="63C3A660">
      <w:pPr>
        <w:pageBreakBefore w:val="0"/>
        <w:spacing w:line="400" w:lineRule="exact"/>
        <w:ind w:firstLine="56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（二）工程建设中的重大问题要由甲方领导班子集体决定。</w:t>
      </w:r>
    </w:p>
    <w:p w14:paraId="17EF933E">
      <w:pPr>
        <w:pageBreakBefore w:val="0"/>
        <w:spacing w:line="400" w:lineRule="exact"/>
        <w:ind w:firstLine="56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（三）工程勘察费在30万元以上的，勘察单位的确定应进行公开招投标。</w:t>
      </w:r>
    </w:p>
    <w:p w14:paraId="4E7F3617">
      <w:pPr>
        <w:pageBreakBefore w:val="0"/>
        <w:spacing w:line="400" w:lineRule="exact"/>
        <w:ind w:firstLine="56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（四）必须经审计部门审计后结算工程款。</w:t>
      </w:r>
    </w:p>
    <w:p w14:paraId="3C5B75DC">
      <w:pPr>
        <w:pageBreakBefore w:val="0"/>
        <w:spacing w:line="400" w:lineRule="exact"/>
        <w:ind w:firstLine="56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（五）不准接受或索要乙方和相关单位的回扣、礼金、有价证券、贵重物品和好处费、感谢费等。</w:t>
      </w:r>
    </w:p>
    <w:p w14:paraId="3E6C0910">
      <w:pPr>
        <w:pageBreakBefore w:val="0"/>
        <w:spacing w:line="400" w:lineRule="exact"/>
        <w:ind w:firstLine="56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（六）不准到乙方和相关单位报销应由甲方或个人支付的费用。</w:t>
      </w:r>
    </w:p>
    <w:p w14:paraId="4A046661">
      <w:pPr>
        <w:pageBreakBefore w:val="0"/>
        <w:spacing w:line="400" w:lineRule="exact"/>
        <w:ind w:firstLine="56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（七）不准向乙方介绍家属、亲友参与同承担的建设项目有关的设备、材料、工程分包、劳务等经济活动以及推荐其他单位和人员参与工程分包等活动。</w:t>
      </w:r>
    </w:p>
    <w:p w14:paraId="028A8205">
      <w:pPr>
        <w:pageBreakBefore w:val="0"/>
        <w:spacing w:line="400" w:lineRule="exact"/>
        <w:ind w:firstLine="56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（八）工程结束后，甲方就工程廉政建设采取的措施及相关职责履行情况，向市“廉洁示范工程”创建活动领导小组办公室作出书面报告。</w:t>
      </w:r>
    </w:p>
    <w:p w14:paraId="748C2F96">
      <w:pPr>
        <w:pageBreakBefore w:val="0"/>
        <w:spacing w:line="400" w:lineRule="exact"/>
        <w:ind w:firstLine="562"/>
        <w:rPr>
          <w:rFonts w:hint="eastAsia" w:ascii="宋体" w:hAnsi="宋体" w:eastAsia="宋体" w:cs="宋体"/>
          <w:color w:val="000000"/>
          <w:sz w:val="24"/>
          <w:szCs w:val="24"/>
          <w:highlight w:val="none"/>
        </w:rPr>
      </w:pPr>
      <w:r>
        <w:rPr>
          <w:rFonts w:hint="eastAsia" w:ascii="宋体" w:hAnsi="宋体" w:eastAsia="宋体" w:cs="宋体"/>
          <w:b/>
          <w:bCs/>
          <w:color w:val="000000"/>
          <w:sz w:val="24"/>
          <w:szCs w:val="24"/>
          <w:highlight w:val="none"/>
        </w:rPr>
        <w:t>三、</w:t>
      </w:r>
      <w:r>
        <w:rPr>
          <w:rFonts w:hint="eastAsia" w:ascii="宋体" w:hAnsi="宋体" w:eastAsia="宋体" w:cs="宋体"/>
          <w:color w:val="000000"/>
          <w:sz w:val="24"/>
          <w:szCs w:val="24"/>
          <w:highlight w:val="none"/>
        </w:rPr>
        <w:t>乙方的责任</w:t>
      </w:r>
    </w:p>
    <w:p w14:paraId="7F533C80">
      <w:pPr>
        <w:pageBreakBefore w:val="0"/>
        <w:spacing w:line="400" w:lineRule="exact"/>
        <w:ind w:firstLine="56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与甲方保持正常的业务交往，严格执行工程建设有关法律法规政策，尤其是有关建筑勘察的强制性标准和规范，并遵守以下规定：</w:t>
      </w:r>
    </w:p>
    <w:p w14:paraId="5FDDBDC5">
      <w:pPr>
        <w:pageBreakBefore w:val="0"/>
        <w:spacing w:line="400" w:lineRule="exact"/>
        <w:ind w:firstLine="56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（一）不准以任何理由向甲方领导和相关人员赠送礼金、有价证券、贵重物品和回扣、好处费、感谢费等。</w:t>
      </w:r>
    </w:p>
    <w:p w14:paraId="1359E4BD">
      <w:pPr>
        <w:pageBreakBefore w:val="0"/>
        <w:spacing w:line="400" w:lineRule="exact"/>
        <w:ind w:firstLine="56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（二）不准以任何理由为甲方和相关单位、个人报销应由对方支付的费用。</w:t>
      </w:r>
    </w:p>
    <w:p w14:paraId="7EF0BB07">
      <w:pPr>
        <w:pageBreakBefore w:val="0"/>
        <w:spacing w:line="400" w:lineRule="exact"/>
        <w:ind w:firstLine="56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（三）不准中标后将中标项目转包或违法分包。</w:t>
      </w:r>
    </w:p>
    <w:p w14:paraId="6DDDEDE4">
      <w:pPr>
        <w:pageBreakBefore w:val="0"/>
        <w:spacing w:line="400" w:lineRule="exact"/>
        <w:ind w:firstLine="56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四、违约责任</w:t>
      </w:r>
    </w:p>
    <w:p w14:paraId="71BB7E7D">
      <w:pPr>
        <w:pageBreakBefore w:val="0"/>
        <w:spacing w:line="400" w:lineRule="exact"/>
        <w:ind w:firstLine="570"/>
        <w:rPr>
          <w:rFonts w:hint="eastAsia" w:ascii="宋体" w:hAnsi="宋体" w:eastAsia="宋体" w:cs="宋体"/>
          <w:sz w:val="24"/>
          <w:szCs w:val="24"/>
        </w:rPr>
      </w:pPr>
      <w:r>
        <w:rPr>
          <w:rFonts w:hint="eastAsia" w:ascii="宋体" w:hAnsi="宋体" w:eastAsia="宋体" w:cs="宋体"/>
          <w:color w:val="000000"/>
          <w:sz w:val="24"/>
          <w:szCs w:val="24"/>
          <w:highlight w:val="none"/>
        </w:rPr>
        <w:t>（一）甲方及其工作人员有违反本责任书第一、二条责任行为的，按照管理权限，依据有关法律法规和规定给予党纪、政纪处分或组织处</w:t>
      </w:r>
      <w:r>
        <w:rPr>
          <w:rFonts w:hint="eastAsia" w:ascii="宋体" w:hAnsi="宋体" w:eastAsia="宋体" w:cs="宋体"/>
          <w:sz w:val="24"/>
          <w:szCs w:val="24"/>
        </w:rPr>
        <w:t>理；涉嫌犯罪的，移交司法机关追究刑事责任。</w:t>
      </w:r>
    </w:p>
    <w:p w14:paraId="555C8842">
      <w:pPr>
        <w:pageBreakBefore w:val="0"/>
        <w:spacing w:line="400" w:lineRule="exact"/>
        <w:ind w:firstLine="570"/>
        <w:rPr>
          <w:rFonts w:hint="eastAsia" w:ascii="宋体" w:hAnsi="宋体" w:eastAsia="宋体" w:cs="宋体"/>
          <w:sz w:val="24"/>
          <w:szCs w:val="24"/>
        </w:rPr>
      </w:pPr>
      <w:r>
        <w:rPr>
          <w:rFonts w:hint="eastAsia" w:ascii="宋体" w:hAnsi="宋体" w:eastAsia="宋体" w:cs="宋体"/>
          <w:sz w:val="24"/>
          <w:szCs w:val="24"/>
        </w:rPr>
        <w:t>（二）乙方企业、负责人及其工作人员有违反本责任书第一、三条责任行为的，按照管理权限，依据有关法律法规和规定给予党纪、政纪处分或组织处理；对照工程廉政建设和招投标工作的有关规定，根据情节轻重，限制进入本地区建设市场参与承包活动或建议相关部门取消法人资格；涉嫌犯罪的，移交司法机关追究刑事责任。</w:t>
      </w:r>
    </w:p>
    <w:p w14:paraId="2C99D428">
      <w:pPr>
        <w:pageBreakBefore w:val="0"/>
        <w:spacing w:line="400" w:lineRule="exact"/>
        <w:ind w:firstLine="570"/>
        <w:rPr>
          <w:rFonts w:hint="eastAsia" w:ascii="宋体" w:hAnsi="宋体" w:eastAsia="宋体" w:cs="宋体"/>
          <w:sz w:val="24"/>
          <w:szCs w:val="24"/>
        </w:rPr>
      </w:pPr>
      <w:r>
        <w:rPr>
          <w:rFonts w:hint="eastAsia" w:ascii="宋体" w:hAnsi="宋体" w:eastAsia="宋体" w:cs="宋体"/>
          <w:sz w:val="24"/>
          <w:szCs w:val="24"/>
        </w:rPr>
        <w:t>五、本责任书作为工程施工合同的附件，与工程施工合同具有同等法律效力。本责任书自双方签署之日起生效。</w:t>
      </w:r>
    </w:p>
    <w:p w14:paraId="0573C302">
      <w:pPr>
        <w:pageBreakBefore w:val="0"/>
        <w:spacing w:line="400" w:lineRule="exact"/>
        <w:ind w:firstLine="570"/>
        <w:rPr>
          <w:rFonts w:hint="eastAsia" w:ascii="宋体" w:hAnsi="宋体" w:eastAsia="宋体" w:cs="宋体"/>
          <w:sz w:val="24"/>
          <w:szCs w:val="24"/>
        </w:rPr>
      </w:pPr>
      <w:r>
        <w:rPr>
          <w:rFonts w:hint="eastAsia" w:ascii="宋体" w:hAnsi="宋体" w:eastAsia="宋体" w:cs="宋体"/>
          <w:sz w:val="24"/>
          <w:szCs w:val="24"/>
        </w:rPr>
        <w:t>六、本责任书一式</w:t>
      </w:r>
      <w:r>
        <w:rPr>
          <w:rFonts w:hint="eastAsia" w:ascii="宋体" w:hAnsi="宋体" w:eastAsia="宋体" w:cs="宋体"/>
          <w:b/>
          <w:sz w:val="24"/>
          <w:szCs w:val="24"/>
          <w:u w:val="single"/>
        </w:rPr>
        <w:t>陆</w:t>
      </w:r>
      <w:r>
        <w:rPr>
          <w:rFonts w:hint="eastAsia" w:ascii="宋体" w:hAnsi="宋体" w:eastAsia="宋体" w:cs="宋体"/>
          <w:sz w:val="24"/>
          <w:szCs w:val="24"/>
        </w:rPr>
        <w:t>份，由</w:t>
      </w:r>
      <w:r>
        <w:rPr>
          <w:rFonts w:hint="eastAsia" w:ascii="宋体" w:hAnsi="宋体" w:eastAsia="宋体" w:cs="宋体"/>
          <w:color w:val="000000"/>
          <w:sz w:val="24"/>
          <w:szCs w:val="24"/>
        </w:rPr>
        <w:t>甲方</w:t>
      </w:r>
      <w:r>
        <w:rPr>
          <w:rFonts w:hint="eastAsia" w:ascii="宋体" w:hAnsi="宋体" w:eastAsia="宋体" w:cs="宋体"/>
          <w:sz w:val="24"/>
          <w:szCs w:val="24"/>
        </w:rPr>
        <w:t>执</w:t>
      </w:r>
      <w:r>
        <w:rPr>
          <w:rFonts w:hint="eastAsia" w:ascii="宋体" w:hAnsi="宋体" w:eastAsia="宋体" w:cs="宋体"/>
          <w:b/>
          <w:sz w:val="24"/>
          <w:szCs w:val="24"/>
          <w:u w:val="single"/>
        </w:rPr>
        <w:t>叁</w:t>
      </w:r>
      <w:r>
        <w:rPr>
          <w:rFonts w:hint="eastAsia" w:ascii="宋体" w:hAnsi="宋体" w:eastAsia="宋体" w:cs="宋体"/>
          <w:sz w:val="24"/>
          <w:szCs w:val="24"/>
        </w:rPr>
        <w:t>份，乙方执</w:t>
      </w:r>
      <w:r>
        <w:rPr>
          <w:rFonts w:hint="eastAsia" w:ascii="宋体" w:hAnsi="宋体" w:eastAsia="宋体" w:cs="宋体"/>
          <w:b/>
          <w:sz w:val="24"/>
          <w:szCs w:val="24"/>
          <w:u w:val="single"/>
        </w:rPr>
        <w:t>叁</w:t>
      </w:r>
      <w:r>
        <w:rPr>
          <w:rFonts w:hint="eastAsia" w:ascii="宋体" w:hAnsi="宋体" w:eastAsia="宋体" w:cs="宋体"/>
          <w:sz w:val="24"/>
          <w:szCs w:val="24"/>
        </w:rPr>
        <w:t>份。</w:t>
      </w:r>
    </w:p>
    <w:p w14:paraId="33272D23">
      <w:pPr>
        <w:pageBreakBefore w:val="0"/>
        <w:spacing w:line="400" w:lineRule="exact"/>
        <w:ind w:firstLine="570"/>
        <w:rPr>
          <w:rFonts w:hint="eastAsia" w:ascii="宋体" w:hAnsi="宋体" w:eastAsia="宋体" w:cs="宋体"/>
          <w:color w:val="000000"/>
          <w:spacing w:val="-10"/>
          <w:sz w:val="24"/>
          <w:szCs w:val="24"/>
        </w:rPr>
      </w:pPr>
      <w:r>
        <w:rPr>
          <w:rFonts w:hint="eastAsia" w:ascii="宋体" w:hAnsi="宋体" w:eastAsia="宋体" w:cs="宋体"/>
          <w:color w:val="000000"/>
          <w:spacing w:val="-10"/>
          <w:sz w:val="24"/>
          <w:szCs w:val="24"/>
        </w:rPr>
        <w:t>说明：本廉政协议书与合同一起签订，作为合同附件。</w:t>
      </w:r>
      <w:bookmarkStart w:id="657" w:name="_Toc384829841"/>
    </w:p>
    <w:bookmarkEnd w:id="657"/>
    <w:p w14:paraId="1DD70CE9">
      <w:pPr>
        <w:pageBreakBefore w:val="0"/>
        <w:spacing w:line="400" w:lineRule="exact"/>
        <w:rPr>
          <w:rFonts w:hint="eastAsia" w:ascii="宋体" w:hAnsi="宋体" w:eastAsia="宋体" w:cs="宋体"/>
          <w:color w:val="000000"/>
          <w:sz w:val="24"/>
          <w:szCs w:val="24"/>
        </w:rPr>
      </w:pPr>
    </w:p>
    <w:p w14:paraId="0C5E2995">
      <w:pPr>
        <w:pageBreakBefore w:val="0"/>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甲方 (全称)：     </w:t>
      </w:r>
    </w:p>
    <w:p w14:paraId="3191E968">
      <w:pPr>
        <w:pageBreakBefore w:val="0"/>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单位名称（章）：                                           </w:t>
      </w:r>
    </w:p>
    <w:p w14:paraId="542F8B97">
      <w:pPr>
        <w:pageBreakBefore w:val="0"/>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法定代表人：                            </w:t>
      </w:r>
    </w:p>
    <w:p w14:paraId="37210F4C">
      <w:pPr>
        <w:pageBreakBefore w:val="0"/>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年     月     日                             </w:t>
      </w:r>
    </w:p>
    <w:p w14:paraId="3D864A2E">
      <w:pPr>
        <w:pageBreakBefore w:val="0"/>
        <w:spacing w:line="400" w:lineRule="exact"/>
        <w:rPr>
          <w:rFonts w:hint="eastAsia" w:ascii="宋体" w:hAnsi="宋体" w:eastAsia="宋体" w:cs="宋体"/>
          <w:color w:val="000000"/>
          <w:sz w:val="24"/>
          <w:szCs w:val="24"/>
        </w:rPr>
      </w:pPr>
    </w:p>
    <w:p w14:paraId="15B67D86">
      <w:pPr>
        <w:pageBreakBefore w:val="0"/>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乙方(全称)： </w:t>
      </w:r>
    </w:p>
    <w:p w14:paraId="01B0D60C">
      <w:pPr>
        <w:pageBreakBefore w:val="0"/>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单位名称（章）：</w:t>
      </w:r>
    </w:p>
    <w:p w14:paraId="0DC754F0">
      <w:pPr>
        <w:pageBreakBefore w:val="0"/>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法定代表人：   </w:t>
      </w:r>
    </w:p>
    <w:p w14:paraId="2B0E8E47">
      <w:pPr>
        <w:pageBreakBefore w:val="0"/>
        <w:spacing w:line="360" w:lineRule="auto"/>
        <w:rPr>
          <w:rFonts w:hint="eastAsia" w:ascii="宋体" w:hAnsi="宋体" w:eastAsia="宋体" w:cs="宋体"/>
          <w:sz w:val="24"/>
          <w:szCs w:val="24"/>
          <w:highlight w:val="yellow"/>
        </w:rPr>
      </w:pPr>
      <w:r>
        <w:rPr>
          <w:rFonts w:hint="eastAsia" w:ascii="宋体" w:hAnsi="宋体" w:eastAsia="宋体" w:cs="宋体"/>
          <w:color w:val="000000"/>
          <w:sz w:val="24"/>
          <w:szCs w:val="24"/>
        </w:rPr>
        <w:t>年     月     日</w:t>
      </w:r>
    </w:p>
    <w:bookmarkEnd w:id="655"/>
    <w:p w14:paraId="1B2239AE">
      <w:pPr>
        <w:tabs>
          <w:tab w:val="left" w:pos="900"/>
          <w:tab w:val="left" w:pos="1080"/>
        </w:tabs>
        <w:spacing w:line="360" w:lineRule="auto"/>
        <w:rPr>
          <w:sz w:val="18"/>
          <w:szCs w:val="18"/>
        </w:rPr>
      </w:pPr>
    </w:p>
    <w:p w14:paraId="6906B606">
      <w:pPr>
        <w:widowControl/>
        <w:jc w:val="left"/>
        <w:rPr>
          <w:b/>
          <w:sz w:val="36"/>
          <w:szCs w:val="36"/>
        </w:rPr>
      </w:pPr>
    </w:p>
    <w:p w14:paraId="6DBF50CF">
      <w:pPr>
        <w:spacing w:line="360" w:lineRule="auto"/>
        <w:jc w:val="center"/>
        <w:outlineLvl w:val="0"/>
        <w:rPr>
          <w:b/>
          <w:sz w:val="36"/>
          <w:szCs w:val="36"/>
        </w:rPr>
      </w:pPr>
      <w:r>
        <w:rPr>
          <w:b/>
          <w:sz w:val="36"/>
          <w:szCs w:val="36"/>
        </w:rPr>
        <w:br w:type="page" w:clear="all"/>
      </w:r>
      <w:bookmarkStart w:id="658" w:name="_Toc99301284"/>
      <w:r>
        <w:rPr>
          <w:b/>
          <w:sz w:val="36"/>
          <w:szCs w:val="36"/>
        </w:rPr>
        <w:t>第六章   响应文件格式</w:t>
      </w:r>
      <w:bookmarkEnd w:id="658"/>
    </w:p>
    <w:p w14:paraId="7C19488D">
      <w:pPr>
        <w:widowControl/>
        <w:spacing w:line="360" w:lineRule="auto"/>
        <w:jc w:val="left"/>
        <w:rPr>
          <w:b/>
          <w:sz w:val="24"/>
        </w:rPr>
      </w:pPr>
    </w:p>
    <w:p w14:paraId="69A8A697">
      <w:pPr>
        <w:widowControl/>
        <w:spacing w:line="360" w:lineRule="auto"/>
        <w:jc w:val="left"/>
        <w:rPr>
          <w:b/>
          <w:sz w:val="24"/>
        </w:rPr>
      </w:pPr>
    </w:p>
    <w:p w14:paraId="67F5BB02">
      <w:pPr>
        <w:tabs>
          <w:tab w:val="left" w:pos="900"/>
          <w:tab w:val="left" w:pos="1980"/>
        </w:tabs>
        <w:spacing w:line="360" w:lineRule="auto"/>
        <w:ind w:left="142"/>
        <w:rPr>
          <w:sz w:val="24"/>
        </w:rPr>
      </w:pPr>
      <w:r>
        <w:rPr>
          <w:b/>
          <w:sz w:val="24"/>
        </w:rPr>
        <w:t>供应商编制文件须知</w:t>
      </w:r>
    </w:p>
    <w:p w14:paraId="3174B815">
      <w:pPr>
        <w:tabs>
          <w:tab w:val="left" w:pos="900"/>
          <w:tab w:val="left" w:pos="1980"/>
        </w:tabs>
        <w:spacing w:line="360" w:lineRule="auto"/>
        <w:ind w:left="142"/>
        <w:rPr>
          <w:sz w:val="24"/>
        </w:rPr>
      </w:pPr>
      <w:r>
        <w:rPr>
          <w:sz w:val="24"/>
        </w:rPr>
        <w:t>1、供应商按照本部分的顺序编制响应文件，编制中涉及格式资料的，应按照本部分提供的内容和格式（所有表格的格式可扩展）填写提交。</w:t>
      </w:r>
    </w:p>
    <w:p w14:paraId="52DDA7AA">
      <w:pPr>
        <w:tabs>
          <w:tab w:val="left" w:pos="900"/>
          <w:tab w:val="left" w:pos="1980"/>
        </w:tabs>
        <w:spacing w:line="360" w:lineRule="auto"/>
        <w:ind w:left="142"/>
        <w:rPr>
          <w:sz w:val="24"/>
        </w:rPr>
      </w:pPr>
      <w:r>
        <w:rPr>
          <w:sz w:val="24"/>
        </w:rPr>
        <w:t>2、对于单一来源采购文件中标记了“实质性格式”文件的，供应商不得改变格式中给定的文字所表达的含义，不得删减格式中的实质性内容，不得自行添加与格式中给定的文字内容相矛盾的内容，不得对应当填写的空格不填写或不实质性响应，否则</w:t>
      </w:r>
      <w:r>
        <w:rPr>
          <w:b/>
          <w:sz w:val="24"/>
        </w:rPr>
        <w:t>响应无效</w:t>
      </w:r>
      <w:r>
        <w:rPr>
          <w:sz w:val="24"/>
        </w:rPr>
        <w:t>。未标记“实质性格式”的文件和单一来源采购文件未提供格式的内容，可由供应商自行编写</w:t>
      </w:r>
    </w:p>
    <w:p w14:paraId="786C6B66">
      <w:pPr>
        <w:tabs>
          <w:tab w:val="left" w:pos="900"/>
          <w:tab w:val="left" w:pos="1980"/>
        </w:tabs>
        <w:spacing w:line="360" w:lineRule="auto"/>
        <w:ind w:left="142"/>
        <w:rPr>
          <w:rFonts w:hint="eastAsia"/>
          <w:sz w:val="24"/>
        </w:rPr>
      </w:pPr>
      <w:r>
        <w:rPr>
          <w:sz w:val="24"/>
        </w:rPr>
        <w:t>3、全部声明和问题的回答及所附材料必须是真实的、准确的和完整的。</w:t>
      </w:r>
    </w:p>
    <w:p w14:paraId="689D5514">
      <w:pPr>
        <w:tabs>
          <w:tab w:val="left" w:pos="900"/>
          <w:tab w:val="left" w:pos="1980"/>
        </w:tabs>
        <w:spacing w:line="360" w:lineRule="auto"/>
        <w:ind w:left="142"/>
        <w:rPr>
          <w:sz w:val="24"/>
        </w:rPr>
      </w:pPr>
      <w:r>
        <w:rPr>
          <w:rFonts w:hint="eastAsia"/>
          <w:sz w:val="24"/>
        </w:rPr>
        <w:t>4、实行电子化不见面交易方式的，加盖公章、签名等均通过</w:t>
      </w:r>
      <w:r>
        <w:rPr>
          <w:sz w:val="24"/>
        </w:rPr>
        <w:t>投标文件编制工具</w:t>
      </w:r>
      <w:r>
        <w:rPr>
          <w:rFonts w:hint="eastAsia"/>
          <w:sz w:val="24"/>
        </w:rPr>
        <w:t>加盖电子公章、</w:t>
      </w:r>
      <w:r>
        <w:rPr>
          <w:rFonts w:ascii="宋体" w:hAnsi="宋体"/>
          <w:color w:val="000000"/>
          <w:sz w:val="24"/>
          <w:szCs w:val="20"/>
        </w:rPr>
        <w:t>签字</w:t>
      </w:r>
      <w:r>
        <w:rPr>
          <w:rFonts w:hint="eastAsia" w:ascii="宋体" w:hAnsi="宋体"/>
          <w:color w:val="000000"/>
          <w:sz w:val="24"/>
          <w:szCs w:val="20"/>
        </w:rPr>
        <w:t>、签章</w:t>
      </w:r>
      <w:r>
        <w:rPr>
          <w:rFonts w:ascii="宋体" w:hAnsi="宋体"/>
          <w:color w:val="000000"/>
          <w:sz w:val="24"/>
          <w:szCs w:val="20"/>
        </w:rPr>
        <w:t>或</w:t>
      </w:r>
      <w:r>
        <w:rPr>
          <w:rFonts w:hint="eastAsia" w:ascii="宋体" w:hAnsi="宋体"/>
          <w:color w:val="000000"/>
          <w:sz w:val="24"/>
          <w:szCs w:val="20"/>
        </w:rPr>
        <w:t>印鉴</w:t>
      </w:r>
      <w:r>
        <w:rPr>
          <w:rFonts w:hint="eastAsia"/>
          <w:sz w:val="24"/>
        </w:rPr>
        <w:t>。</w:t>
      </w:r>
    </w:p>
    <w:p w14:paraId="08D6A71B">
      <w:pPr>
        <w:tabs>
          <w:tab w:val="left" w:pos="900"/>
          <w:tab w:val="left" w:pos="1980"/>
        </w:tabs>
        <w:spacing w:line="360" w:lineRule="auto"/>
        <w:ind w:left="142"/>
        <w:rPr>
          <w:sz w:val="24"/>
        </w:rPr>
      </w:pPr>
    </w:p>
    <w:p w14:paraId="0636813E">
      <w:pPr>
        <w:widowControl/>
        <w:jc w:val="left"/>
        <w:rPr>
          <w:sz w:val="24"/>
        </w:rPr>
      </w:pPr>
      <w:r>
        <w:rPr>
          <w:sz w:val="24"/>
        </w:rPr>
        <w:br w:type="page" w:clear="all"/>
      </w:r>
    </w:p>
    <w:bookmarkEnd w:id="639"/>
    <w:bookmarkEnd w:id="640"/>
    <w:bookmarkEnd w:id="641"/>
    <w:bookmarkEnd w:id="642"/>
    <w:bookmarkEnd w:id="643"/>
    <w:bookmarkEnd w:id="644"/>
    <w:bookmarkEnd w:id="645"/>
    <w:bookmarkEnd w:id="646"/>
    <w:bookmarkEnd w:id="647"/>
    <w:bookmarkEnd w:id="648"/>
    <w:bookmarkEnd w:id="649"/>
    <w:bookmarkEnd w:id="650"/>
    <w:bookmarkEnd w:id="651"/>
    <w:bookmarkEnd w:id="652"/>
    <w:p w14:paraId="5A431D52">
      <w:pPr>
        <w:rPr>
          <w:b/>
          <w:spacing w:val="20"/>
          <w:szCs w:val="21"/>
        </w:rPr>
      </w:pPr>
    </w:p>
    <w:p w14:paraId="4CA34225">
      <w:pPr>
        <w:rPr>
          <w:b/>
          <w:sz w:val="24"/>
        </w:rPr>
      </w:pPr>
      <w:r>
        <w:rPr>
          <w:b/>
          <w:spacing w:val="20"/>
          <w:sz w:val="24"/>
        </w:rPr>
        <w:t>响应文件</w:t>
      </w:r>
      <w:r>
        <w:rPr>
          <w:b/>
          <w:sz w:val="24"/>
        </w:rPr>
        <w:t>封面（非实质性格式）</w:t>
      </w:r>
    </w:p>
    <w:p w14:paraId="21D8A216">
      <w:pPr>
        <w:jc w:val="center"/>
        <w:rPr>
          <w:szCs w:val="21"/>
        </w:rPr>
      </w:pPr>
    </w:p>
    <w:p w14:paraId="75AEAFB8">
      <w:pPr>
        <w:jc w:val="center"/>
        <w:rPr>
          <w:b/>
          <w:spacing w:val="60"/>
          <w:sz w:val="84"/>
          <w:szCs w:val="84"/>
        </w:rPr>
      </w:pPr>
      <w:r>
        <w:rPr>
          <w:b/>
          <w:spacing w:val="60"/>
          <w:sz w:val="84"/>
          <w:szCs w:val="84"/>
        </w:rPr>
        <w:t>响  应 文 件</w:t>
      </w:r>
    </w:p>
    <w:p w14:paraId="0F929700">
      <w:pPr>
        <w:ind w:firstLine="542"/>
        <w:rPr>
          <w:b/>
          <w:spacing w:val="20"/>
          <w:sz w:val="32"/>
          <w:szCs w:val="32"/>
        </w:rPr>
      </w:pPr>
    </w:p>
    <w:p w14:paraId="084874BC">
      <w:pPr>
        <w:ind w:firstLine="542"/>
        <w:rPr>
          <w:b/>
          <w:spacing w:val="20"/>
          <w:sz w:val="32"/>
          <w:szCs w:val="32"/>
        </w:rPr>
      </w:pPr>
    </w:p>
    <w:p w14:paraId="22D8ECA3">
      <w:pPr>
        <w:ind w:firstLine="542"/>
        <w:rPr>
          <w:b/>
          <w:spacing w:val="20"/>
          <w:sz w:val="32"/>
          <w:szCs w:val="32"/>
        </w:rPr>
      </w:pPr>
    </w:p>
    <w:p w14:paraId="1F8B55DD">
      <w:pPr>
        <w:ind w:firstLine="542"/>
        <w:rPr>
          <w:b/>
          <w:spacing w:val="20"/>
          <w:sz w:val="32"/>
          <w:szCs w:val="32"/>
        </w:rPr>
      </w:pPr>
    </w:p>
    <w:p w14:paraId="7B321447">
      <w:pPr>
        <w:ind w:firstLine="1084"/>
        <w:rPr>
          <w:rFonts w:ascii="宋体" w:hAnsi="宋体"/>
          <w:b/>
          <w:sz w:val="36"/>
        </w:rPr>
      </w:pPr>
      <w:r>
        <w:rPr>
          <w:rFonts w:hint="eastAsia" w:ascii="宋体" w:hAnsi="宋体"/>
          <w:b/>
          <w:sz w:val="36"/>
        </w:rPr>
        <w:t>项 目 名 称：</w:t>
      </w:r>
      <w:r>
        <w:rPr>
          <w:rFonts w:hint="eastAsia" w:ascii="宋体" w:hAnsi="宋体"/>
          <w:b/>
          <w:sz w:val="36"/>
          <w:u w:val="single"/>
        </w:rPr>
        <w:t xml:space="preserve">               </w:t>
      </w:r>
    </w:p>
    <w:p w14:paraId="4A0B422A">
      <w:pPr>
        <w:ind w:firstLine="1084"/>
        <w:rPr>
          <w:rFonts w:ascii="宋体" w:hAnsi="宋体"/>
          <w:b/>
          <w:sz w:val="36"/>
          <w:u w:val="single"/>
        </w:rPr>
      </w:pPr>
      <w:r>
        <w:rPr>
          <w:rFonts w:hint="eastAsia" w:ascii="宋体" w:hAnsi="宋体"/>
          <w:b/>
          <w:sz w:val="36"/>
        </w:rPr>
        <w:t>项 目 编 号：</w:t>
      </w:r>
      <w:r>
        <w:rPr>
          <w:rFonts w:hint="eastAsia" w:ascii="宋体" w:hAnsi="宋体"/>
          <w:b/>
          <w:sz w:val="36"/>
          <w:u w:val="single"/>
        </w:rPr>
        <w:t xml:space="preserve">               </w:t>
      </w:r>
    </w:p>
    <w:p w14:paraId="0FB1B26A">
      <w:pPr>
        <w:rPr>
          <w:rFonts w:ascii="宋体" w:hAnsi="宋体"/>
          <w:b/>
          <w:sz w:val="36"/>
          <w:u w:val="single"/>
        </w:rPr>
      </w:pPr>
      <w:r>
        <w:rPr>
          <w:rFonts w:hint="eastAsia" w:ascii="宋体" w:hAnsi="宋体"/>
          <w:b/>
          <w:sz w:val="36"/>
        </w:rPr>
        <w:t xml:space="preserve">      供应商名称 ：</w:t>
      </w:r>
      <w:r>
        <w:rPr>
          <w:rFonts w:hint="eastAsia" w:ascii="宋体" w:hAnsi="宋体"/>
          <w:b/>
          <w:sz w:val="36"/>
          <w:u w:val="single"/>
        </w:rPr>
        <w:t xml:space="preserve">               </w:t>
      </w:r>
    </w:p>
    <w:p w14:paraId="09218A3C">
      <w:pPr>
        <w:rPr>
          <w:rFonts w:ascii="宋体" w:hAnsi="宋体"/>
          <w:b/>
          <w:sz w:val="36"/>
        </w:rPr>
      </w:pPr>
      <w:r>
        <w:rPr>
          <w:rFonts w:hint="eastAsia" w:ascii="宋体" w:hAnsi="宋体"/>
          <w:b/>
          <w:sz w:val="36"/>
        </w:rPr>
        <w:t xml:space="preserve">      日      期 ：</w:t>
      </w:r>
      <w:r>
        <w:rPr>
          <w:rFonts w:hint="eastAsia" w:ascii="宋体" w:hAnsi="宋体"/>
          <w:b/>
          <w:sz w:val="36"/>
          <w:u w:val="single"/>
        </w:rPr>
        <w:t xml:space="preserve">               </w:t>
      </w:r>
    </w:p>
    <w:p w14:paraId="012C8A81">
      <w:pPr>
        <w:jc w:val="center"/>
        <w:rPr>
          <w:b/>
          <w:sz w:val="32"/>
          <w:szCs w:val="32"/>
        </w:rPr>
      </w:pPr>
    </w:p>
    <w:p w14:paraId="173E5249">
      <w:pPr>
        <w:rPr>
          <w:b/>
        </w:rPr>
      </w:pPr>
      <w:r>
        <w:rPr>
          <w:b/>
          <w:spacing w:val="20"/>
          <w:sz w:val="32"/>
          <w:szCs w:val="32"/>
        </w:rPr>
        <w:br w:type="page" w:clear="all"/>
      </w:r>
    </w:p>
    <w:p w14:paraId="1DBBF140">
      <w:pPr>
        <w:spacing w:line="360" w:lineRule="auto"/>
        <w:outlineLvl w:val="2"/>
        <w:rPr>
          <w:color w:val="000000"/>
          <w:sz w:val="24"/>
          <w:szCs w:val="20"/>
        </w:rPr>
      </w:pPr>
      <w:r>
        <w:rPr>
          <w:color w:val="000000"/>
          <w:sz w:val="24"/>
          <w:szCs w:val="20"/>
        </w:rPr>
        <w:t>1</w:t>
      </w:r>
      <w:r>
        <w:rPr>
          <w:sz w:val="24"/>
        </w:rPr>
        <w:t>满足《中华人民共和国政府采购法》第二十二条规定及法律法规的其他规定</w:t>
      </w:r>
    </w:p>
    <w:p w14:paraId="17AF62F7">
      <w:pPr>
        <w:pStyle w:val="187"/>
        <w:rPr>
          <w:rFonts w:ascii="Times New Roman"/>
          <w:b w:val="0"/>
          <w:bCs/>
          <w:color w:val="000000"/>
          <w:u w:val="none"/>
        </w:rPr>
      </w:pPr>
      <w:r>
        <w:rPr>
          <w:rFonts w:ascii="Times New Roman"/>
          <w:b w:val="0"/>
          <w:color w:val="000000"/>
          <w:u w:val="none"/>
        </w:rPr>
        <w:t>1-</w:t>
      </w:r>
      <w:r>
        <w:rPr>
          <w:rFonts w:hint="eastAsia" w:ascii="Times New Roman"/>
          <w:b w:val="0"/>
          <w:color w:val="000000"/>
          <w:u w:val="none"/>
        </w:rPr>
        <w:t>1</w:t>
      </w:r>
      <w:r>
        <w:rPr>
          <w:rFonts w:ascii="Times New Roman"/>
          <w:b w:val="0"/>
          <w:color w:val="000000"/>
          <w:u w:val="none"/>
        </w:rPr>
        <w:t xml:space="preserve"> 投标人资格声明</w:t>
      </w:r>
      <w:r>
        <w:rPr>
          <w:rFonts w:hint="eastAsia" w:ascii="Times New Roman"/>
          <w:b w:val="0"/>
          <w:color w:val="000000"/>
          <w:u w:val="none"/>
        </w:rPr>
        <w:t>函</w:t>
      </w:r>
      <w:r>
        <w:rPr>
          <w:rFonts w:ascii="Times New Roman"/>
          <w:b w:val="0"/>
          <w:color w:val="000000"/>
          <w:u w:val="none"/>
        </w:rPr>
        <w:t>（实质性格式）</w:t>
      </w:r>
    </w:p>
    <w:p w14:paraId="42F59086">
      <w:pPr>
        <w:widowControl/>
        <w:spacing w:before="120" w:line="360" w:lineRule="auto"/>
        <w:jc w:val="center"/>
        <w:rPr>
          <w:rFonts w:hint="eastAsia" w:ascii="宋体" w:hAnsi="宋体" w:cs="宋体"/>
          <w:b/>
          <w:sz w:val="28"/>
          <w:szCs w:val="28"/>
        </w:rPr>
      </w:pPr>
    </w:p>
    <w:p w14:paraId="0820D42E">
      <w:pPr>
        <w:widowControl/>
        <w:spacing w:before="120" w:line="360" w:lineRule="auto"/>
        <w:jc w:val="center"/>
        <w:rPr>
          <w:rFonts w:ascii="宋体" w:hAnsi="宋体" w:cs="宋体"/>
          <w:szCs w:val="21"/>
        </w:rPr>
      </w:pPr>
      <w:r>
        <w:rPr>
          <w:rFonts w:hint="eastAsia" w:ascii="宋体" w:hAnsi="宋体" w:cs="宋体"/>
          <w:b/>
          <w:sz w:val="28"/>
          <w:szCs w:val="28"/>
        </w:rPr>
        <w:t>投标人资格声明函</w:t>
      </w:r>
    </w:p>
    <w:p w14:paraId="75E2F05C">
      <w:pPr>
        <w:pStyle w:val="186"/>
        <w:spacing w:line="460" w:lineRule="exact"/>
        <w:ind w:firstLine="480"/>
      </w:pPr>
    </w:p>
    <w:p w14:paraId="5E585FFE">
      <w:pPr>
        <w:pStyle w:val="186"/>
        <w:spacing w:line="460" w:lineRule="exact"/>
        <w:ind w:firstLine="480"/>
        <w:rPr>
          <w:rFonts w:hint="eastAsia" w:eastAsia="宋体"/>
          <w:lang w:eastAsia="zh-CN"/>
        </w:rPr>
      </w:pPr>
      <w:r>
        <w:rPr>
          <w:rFonts w:hint="eastAsia"/>
        </w:rPr>
        <w:t>致：</w:t>
      </w:r>
      <w:r>
        <w:rPr>
          <w:rFonts w:hint="eastAsia"/>
          <w:lang w:eastAsia="zh-CN"/>
        </w:rPr>
        <w:t>常州市金坛区儒林镇人民政府</w:t>
      </w:r>
    </w:p>
    <w:p w14:paraId="78FDA905">
      <w:pPr>
        <w:pStyle w:val="186"/>
        <w:spacing w:line="460" w:lineRule="exact"/>
        <w:ind w:firstLine="480"/>
      </w:pPr>
    </w:p>
    <w:p w14:paraId="764621D5">
      <w:pPr>
        <w:pStyle w:val="186"/>
        <w:spacing w:line="460" w:lineRule="exact"/>
        <w:ind w:firstLine="480"/>
      </w:pPr>
      <w:r>
        <w:rPr>
          <w:rFonts w:hint="eastAsia"/>
        </w:rPr>
        <w:t>按照《中华人民共和国政府采购法》第二十二条和招标文件的规定，我单位郑重声明如下：</w:t>
      </w:r>
    </w:p>
    <w:p w14:paraId="27386E39">
      <w:pPr>
        <w:pStyle w:val="186"/>
        <w:spacing w:line="460" w:lineRule="exact"/>
        <w:ind w:firstLine="480"/>
      </w:pPr>
      <w:r>
        <w:rPr>
          <w:rFonts w:hint="eastAsia"/>
        </w:rPr>
        <w:t>一、我单位是按照中华人民共和国法律规定登记注册的，注册地点为</w:t>
      </w:r>
      <w:r>
        <w:rPr>
          <w:rFonts w:hint="eastAsia"/>
          <w:u w:val="single"/>
        </w:rPr>
        <w:t xml:space="preserve">         </w:t>
      </w:r>
      <w:r>
        <w:rPr>
          <w:rFonts w:hint="eastAsia"/>
        </w:rPr>
        <w:t>，全称为</w:t>
      </w:r>
      <w:r>
        <w:rPr>
          <w:rFonts w:hint="eastAsia"/>
          <w:u w:val="single"/>
        </w:rPr>
        <w:t xml:space="preserve">        </w:t>
      </w:r>
      <w:r>
        <w:rPr>
          <w:rFonts w:hint="eastAsia"/>
        </w:rPr>
        <w:t>，统一社会信用代码为</w:t>
      </w:r>
      <w:r>
        <w:rPr>
          <w:rFonts w:hint="eastAsia"/>
          <w:u w:val="single"/>
        </w:rPr>
        <w:t xml:space="preserve">           </w:t>
      </w:r>
      <w:r>
        <w:rPr>
          <w:rFonts w:hint="eastAsia"/>
        </w:rPr>
        <w:t xml:space="preserve"> ，法定代表人（单位负责人）为</w:t>
      </w:r>
      <w:r>
        <w:rPr>
          <w:rFonts w:hint="eastAsia"/>
          <w:u w:val="single"/>
        </w:rPr>
        <w:t xml:space="preserve">         </w:t>
      </w:r>
      <w:r>
        <w:rPr>
          <w:rFonts w:hint="eastAsia"/>
        </w:rPr>
        <w:t>，具有独立承担民事责任的能力</w:t>
      </w:r>
      <w:r>
        <w:rPr>
          <w:rFonts w:hint="eastAsia"/>
          <w:b/>
        </w:rPr>
        <w:t>（如属于分公司经总公司授权参与项目，由总公司承担民事责任的，需提供总公司项目授权书）</w:t>
      </w:r>
      <w:r>
        <w:rPr>
          <w:rFonts w:hint="eastAsia"/>
        </w:rPr>
        <w:t>。</w:t>
      </w:r>
    </w:p>
    <w:p w14:paraId="5AA74FED">
      <w:pPr>
        <w:pStyle w:val="186"/>
        <w:spacing w:line="460" w:lineRule="exact"/>
        <w:ind w:firstLine="480"/>
      </w:pPr>
      <w:r>
        <w:rPr>
          <w:rFonts w:hint="eastAsia"/>
        </w:rPr>
        <w:t>二、我单位未被“国家企业信用信息系统”列入经营异常名录或者严重违法企业名单。</w:t>
      </w:r>
    </w:p>
    <w:p w14:paraId="57A32947">
      <w:pPr>
        <w:pStyle w:val="186"/>
        <w:spacing w:line="460" w:lineRule="exact"/>
        <w:ind w:firstLine="480"/>
      </w:pPr>
      <w:r>
        <w:rPr>
          <w:rFonts w:hint="eastAsia"/>
        </w:rPr>
        <w:t>三、我单位具有良好的商业信誉（指投标人经营状况良好，无本资格声明第十条情形）和健全的财务会计制度。</w:t>
      </w:r>
    </w:p>
    <w:p w14:paraId="12C51ECC">
      <w:pPr>
        <w:pStyle w:val="186"/>
        <w:spacing w:line="460" w:lineRule="exact"/>
        <w:ind w:firstLine="480"/>
      </w:pPr>
      <w:r>
        <w:rPr>
          <w:rFonts w:hint="eastAsia"/>
        </w:rPr>
        <w:t>四、我单位依法进行纳税和社会保险申报并实际履行了义务。</w:t>
      </w:r>
    </w:p>
    <w:p w14:paraId="2828F784">
      <w:pPr>
        <w:pStyle w:val="186"/>
        <w:spacing w:line="460" w:lineRule="exact"/>
        <w:ind w:firstLine="480"/>
      </w:pPr>
      <w:r>
        <w:rPr>
          <w:rFonts w:hint="eastAsia"/>
        </w:rPr>
        <w:t>五、我单位具有履行本项目采购合同所必需的设备和专业技术能力，并具有履行合同的良好</w:t>
      </w:r>
      <w:r>
        <w:t>记录</w:t>
      </w:r>
      <w:r>
        <w:rPr>
          <w:rFonts w:hint="eastAsia"/>
        </w:rPr>
        <w:t>。为履行本项采购合同我单位具备如下主要设备和主要专业技术能力:</w:t>
      </w:r>
    </w:p>
    <w:p w14:paraId="0E37F17D">
      <w:pPr>
        <w:pStyle w:val="186"/>
        <w:spacing w:line="460" w:lineRule="exact"/>
        <w:ind w:firstLine="480"/>
      </w:pPr>
      <w:r>
        <w:rPr>
          <w:rFonts w:hint="eastAsia"/>
        </w:rPr>
        <w:t>主要设备有：</w:t>
      </w:r>
      <w:r>
        <w:rPr>
          <w:u w:val="single"/>
        </w:rPr>
        <w:t xml:space="preserve">            </w:t>
      </w:r>
    </w:p>
    <w:p w14:paraId="0B06E126">
      <w:pPr>
        <w:pStyle w:val="186"/>
        <w:spacing w:line="460" w:lineRule="exact"/>
        <w:ind w:firstLine="480"/>
      </w:pPr>
      <w:r>
        <w:rPr>
          <w:rFonts w:hint="eastAsia"/>
        </w:rPr>
        <w:t>主要专业技术能力有</w:t>
      </w:r>
      <w:r>
        <w:rPr>
          <w:rFonts w:hint="eastAsia"/>
          <w:u w:val="single"/>
        </w:rPr>
        <w:t xml:space="preserve">                 </w:t>
      </w:r>
    </w:p>
    <w:p w14:paraId="3F4130E1">
      <w:pPr>
        <w:pStyle w:val="186"/>
        <w:spacing w:line="460" w:lineRule="exact"/>
        <w:ind w:firstLine="480"/>
      </w:pPr>
      <w:r>
        <w:rPr>
          <w:rFonts w:hint="eastAsia"/>
        </w:rPr>
        <w:t>六、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3年内因违法经营被禁止在一定期限内参加政府采购活动，期限届满的，可以参加政府采购活动。）</w:t>
      </w:r>
    </w:p>
    <w:p w14:paraId="2A7AF4D6">
      <w:pPr>
        <w:pStyle w:val="186"/>
        <w:spacing w:line="460" w:lineRule="exact"/>
        <w:ind w:firstLine="480"/>
      </w:pPr>
      <w:r>
        <w:rPr>
          <w:rFonts w:hint="eastAsia"/>
        </w:rPr>
        <w:t>七、我单位具备法律、行政法规规定的其他条件。</w:t>
      </w:r>
    </w:p>
    <w:p w14:paraId="71B420F5">
      <w:pPr>
        <w:pStyle w:val="186"/>
        <w:spacing w:line="460" w:lineRule="exact"/>
        <w:ind w:firstLine="480"/>
      </w:pPr>
      <w:r>
        <w:rPr>
          <w:rFonts w:hint="eastAsia"/>
        </w:rPr>
        <w:t>八、与我单位存在“单位负责人为同一人或者存在直接控股、管理关系”的其他单位信息如下（如无此情形的，填写“无”）：</w:t>
      </w:r>
    </w:p>
    <w:p w14:paraId="7DD9D996">
      <w:pPr>
        <w:pStyle w:val="186"/>
        <w:spacing w:line="460" w:lineRule="exact"/>
        <w:ind w:firstLine="480"/>
      </w:pPr>
      <w:r>
        <w:rPr>
          <w:rFonts w:hint="eastAsia"/>
        </w:rPr>
        <w:t>1、与我单位的法定代表人（单位负责人）为同一人的其他单位如下：</w:t>
      </w:r>
      <w:r>
        <w:rPr>
          <w:rFonts w:hint="eastAsia"/>
          <w:u w:val="single"/>
        </w:rPr>
        <w:t xml:space="preserve">     </w:t>
      </w:r>
      <w:r>
        <w:rPr>
          <w:rFonts w:hint="eastAsia"/>
        </w:rPr>
        <w:t xml:space="preserve">          </w:t>
      </w:r>
    </w:p>
    <w:p w14:paraId="35EB9D57">
      <w:pPr>
        <w:pStyle w:val="186"/>
        <w:spacing w:line="460" w:lineRule="exact"/>
        <w:ind w:firstLine="480"/>
      </w:pPr>
      <w:r>
        <w:rPr>
          <w:rFonts w:hint="eastAsia"/>
        </w:rPr>
        <w:t>2、我单位直接控股的其他单位如下：</w:t>
      </w:r>
      <w:r>
        <w:rPr>
          <w:rFonts w:hint="eastAsia"/>
          <w:u w:val="single"/>
        </w:rPr>
        <w:t xml:space="preserve">                    </w:t>
      </w:r>
      <w:r>
        <w:rPr>
          <w:rFonts w:hint="eastAsia"/>
        </w:rPr>
        <w:t xml:space="preserve"> </w:t>
      </w:r>
    </w:p>
    <w:p w14:paraId="023DCB55">
      <w:pPr>
        <w:pStyle w:val="186"/>
        <w:spacing w:line="460" w:lineRule="exact"/>
        <w:ind w:firstLine="480"/>
      </w:pPr>
      <w:r>
        <w:rPr>
          <w:rFonts w:hint="eastAsia"/>
        </w:rPr>
        <w:t>3、与我单位存在管理关系的其他单位如下：</w:t>
      </w:r>
      <w:r>
        <w:rPr>
          <w:rFonts w:hint="eastAsia"/>
          <w:u w:val="single"/>
        </w:rPr>
        <w:t xml:space="preserve">              </w:t>
      </w:r>
      <w:r>
        <w:rPr>
          <w:rFonts w:hint="eastAsia"/>
        </w:rPr>
        <w:t xml:space="preserve"> </w:t>
      </w:r>
    </w:p>
    <w:p w14:paraId="4912D030">
      <w:pPr>
        <w:pStyle w:val="186"/>
        <w:spacing w:line="460" w:lineRule="exact"/>
        <w:ind w:firstLine="480"/>
      </w:pPr>
      <w:r>
        <w:rPr>
          <w:rFonts w:hint="eastAsia"/>
        </w:rPr>
        <w:t>九、</w:t>
      </w:r>
      <w:r>
        <w:t>我</w:t>
      </w:r>
      <w:r>
        <w:rPr>
          <w:rFonts w:hint="eastAsia"/>
        </w:rPr>
        <w:t>单位</w:t>
      </w:r>
      <w:r>
        <w:t>不属于为本项目提供整体设计、规范编制或者项目管理、监理、检测等服务的投标人。</w:t>
      </w:r>
    </w:p>
    <w:p w14:paraId="53478296">
      <w:pPr>
        <w:pStyle w:val="186"/>
        <w:spacing w:line="460" w:lineRule="exact"/>
        <w:ind w:firstLine="480"/>
      </w:pPr>
      <w:r>
        <w:rPr>
          <w:rFonts w:hint="eastAsia"/>
        </w:rPr>
        <w:t>十、</w:t>
      </w:r>
      <w:r>
        <w:t>我单位无以下不良信用记录情形：</w:t>
      </w:r>
    </w:p>
    <w:p w14:paraId="012B6600">
      <w:pPr>
        <w:pStyle w:val="186"/>
        <w:spacing w:line="460" w:lineRule="exact"/>
        <w:ind w:firstLine="480"/>
      </w:pPr>
      <w:r>
        <w:t>1</w:t>
      </w:r>
      <w:r>
        <w:rPr>
          <w:rFonts w:hint="eastAsia"/>
        </w:rPr>
        <w:t>、在“信用中国”网站被列入失信被执行人和重大税收违法案件当事人名单；</w:t>
      </w:r>
    </w:p>
    <w:p w14:paraId="637174D6">
      <w:pPr>
        <w:pStyle w:val="186"/>
        <w:spacing w:line="460" w:lineRule="exact"/>
        <w:ind w:firstLine="480"/>
      </w:pPr>
      <w:r>
        <w:t>2</w:t>
      </w:r>
      <w:r>
        <w:rPr>
          <w:rFonts w:hint="eastAsia"/>
        </w:rPr>
        <w:t>、在“中国政府采购网”网站被列入政府采购严重违法失信行为记录名单；</w:t>
      </w:r>
    </w:p>
    <w:p w14:paraId="7EBB01A5">
      <w:pPr>
        <w:pStyle w:val="186"/>
        <w:spacing w:line="460" w:lineRule="exact"/>
        <w:ind w:firstLine="480"/>
      </w:pPr>
      <w:r>
        <w:t>3</w:t>
      </w:r>
      <w:r>
        <w:rPr>
          <w:rFonts w:hint="eastAsia"/>
        </w:rPr>
        <w:t>、</w:t>
      </w:r>
      <w:r>
        <w:t>不符合《政府采购法》第二十二条规定的条件。</w:t>
      </w:r>
    </w:p>
    <w:p w14:paraId="0877D941">
      <w:pPr>
        <w:pStyle w:val="186"/>
        <w:spacing w:line="460" w:lineRule="exact"/>
        <w:ind w:firstLine="480"/>
      </w:pPr>
    </w:p>
    <w:p w14:paraId="31BBE6E7">
      <w:pPr>
        <w:pStyle w:val="186"/>
        <w:spacing w:line="460" w:lineRule="exact"/>
        <w:ind w:firstLine="480"/>
      </w:pPr>
      <w:r>
        <w:rPr>
          <w:rFonts w:hint="eastAsia"/>
        </w:rPr>
        <w:t>我单位保证上述声明的事项都是真实的，如有虚假，我单位愿意承担相应的法律责任，并承担因此所造成的一切损失。</w:t>
      </w:r>
    </w:p>
    <w:p w14:paraId="58FD1403">
      <w:pPr>
        <w:pStyle w:val="186"/>
        <w:spacing w:line="460" w:lineRule="exact"/>
        <w:ind w:firstLine="480"/>
      </w:pPr>
    </w:p>
    <w:p w14:paraId="3691EBEF">
      <w:pPr>
        <w:pStyle w:val="186"/>
        <w:spacing w:line="460" w:lineRule="exact"/>
        <w:ind w:firstLine="480"/>
      </w:pPr>
    </w:p>
    <w:p w14:paraId="099A80A8">
      <w:pPr>
        <w:pStyle w:val="186"/>
        <w:spacing w:line="460" w:lineRule="exact"/>
        <w:ind w:firstLine="480"/>
      </w:pPr>
      <w:r>
        <w:rPr>
          <w:rFonts w:hint="eastAsia"/>
        </w:rPr>
        <w:t>                                         投标人：（加盖公章）</w:t>
      </w:r>
    </w:p>
    <w:p w14:paraId="3B889948">
      <w:pPr>
        <w:pStyle w:val="186"/>
        <w:spacing w:line="460" w:lineRule="exact"/>
        <w:ind w:firstLine="480"/>
      </w:pPr>
      <w:r>
        <w:rPr>
          <w:rFonts w:hint="eastAsia"/>
        </w:rPr>
        <w:t>                                        法定代表人（或单位负责人）签字或盖章：</w:t>
      </w:r>
    </w:p>
    <w:p w14:paraId="180F59FF">
      <w:pPr>
        <w:pStyle w:val="186"/>
        <w:spacing w:line="460" w:lineRule="exact"/>
        <w:ind w:left="0" w:leftChars="0" w:firstLine="4560" w:firstLineChars="1900"/>
        <w:rPr>
          <w:rFonts w:hint="eastAsia"/>
        </w:rPr>
      </w:pPr>
      <w:r>
        <w:rPr>
          <w:rFonts w:hint="eastAsia"/>
        </w:rPr>
        <w:t>日期：    年    月    日</w:t>
      </w:r>
    </w:p>
    <w:p w14:paraId="7F3BEA8F">
      <w:pPr>
        <w:spacing w:line="360" w:lineRule="auto"/>
        <w:rPr>
          <w:rFonts w:hint="eastAsia"/>
          <w:sz w:val="24"/>
        </w:rPr>
      </w:pPr>
    </w:p>
    <w:p w14:paraId="5D3DB925">
      <w:pPr>
        <w:spacing w:line="360" w:lineRule="auto"/>
        <w:rPr>
          <w:rFonts w:hint="eastAsia"/>
          <w:sz w:val="24"/>
        </w:rPr>
      </w:pPr>
    </w:p>
    <w:p w14:paraId="076A7703">
      <w:pPr>
        <w:spacing w:line="360" w:lineRule="auto"/>
        <w:rPr>
          <w:rFonts w:hint="eastAsia"/>
          <w:sz w:val="24"/>
        </w:rPr>
      </w:pPr>
    </w:p>
    <w:p w14:paraId="513194C3">
      <w:pPr>
        <w:spacing w:line="360" w:lineRule="auto"/>
        <w:rPr>
          <w:sz w:val="24"/>
        </w:rPr>
      </w:pPr>
      <w:r>
        <w:rPr>
          <w:sz w:val="24"/>
        </w:rPr>
        <w:t>说明：</w:t>
      </w:r>
      <w:r>
        <w:rPr>
          <w:rFonts w:hint="eastAsia"/>
          <w:sz w:val="24"/>
        </w:rPr>
        <w:t>供应商承诺不实的，依据《政府采购法》第七十七条“提供虚假材料谋取中标、成交的”有关规定予以处理</w:t>
      </w:r>
      <w:r>
        <w:rPr>
          <w:sz w:val="24"/>
        </w:rPr>
        <w:t>。</w:t>
      </w:r>
    </w:p>
    <w:p w14:paraId="2693847C">
      <w:pPr>
        <w:tabs>
          <w:tab w:val="left" w:pos="5580"/>
        </w:tabs>
        <w:spacing w:line="360" w:lineRule="auto"/>
        <w:rPr>
          <w:sz w:val="24"/>
        </w:rPr>
        <w:sectPr>
          <w:headerReference r:id="rId13" w:type="default"/>
          <w:footerReference r:id="rId14" w:type="default"/>
          <w:pgSz w:w="11907" w:h="16840"/>
          <w:pgMar w:top="1418" w:right="1134" w:bottom="1418" w:left="1701" w:header="851" w:footer="851" w:gutter="0"/>
          <w:cols w:space="1701" w:num="1"/>
          <w:docGrid w:linePitch="360" w:charSpace="0"/>
        </w:sectPr>
      </w:pPr>
    </w:p>
    <w:p w14:paraId="7593D90C">
      <w:pPr>
        <w:spacing w:line="360" w:lineRule="auto"/>
        <w:outlineLvl w:val="2"/>
        <w:rPr>
          <w:color w:val="000000"/>
          <w:sz w:val="24"/>
          <w:szCs w:val="20"/>
        </w:rPr>
      </w:pPr>
      <w:r>
        <w:rPr>
          <w:color w:val="000000"/>
          <w:sz w:val="24"/>
          <w:szCs w:val="20"/>
        </w:rPr>
        <w:t>2 落实政府采购政策需满足的资格要求（如有）</w:t>
      </w:r>
    </w:p>
    <w:p w14:paraId="6802A9C0">
      <w:pPr>
        <w:spacing w:line="360" w:lineRule="auto"/>
        <w:outlineLvl w:val="2"/>
        <w:rPr>
          <w:color w:val="000000"/>
          <w:sz w:val="24"/>
          <w:szCs w:val="20"/>
        </w:rPr>
      </w:pPr>
      <w:r>
        <w:rPr>
          <w:color w:val="000000"/>
          <w:sz w:val="24"/>
          <w:szCs w:val="20"/>
        </w:rPr>
        <w:t>2-1中小企业声明函</w:t>
      </w:r>
      <w:r>
        <w:rPr>
          <w:rFonts w:hint="eastAsia"/>
          <w:i/>
          <w:color w:val="FF0000"/>
          <w:sz w:val="24"/>
        </w:rPr>
        <w:t>（</w:t>
      </w:r>
      <w:r>
        <w:rPr>
          <w:i/>
          <w:color w:val="FF0000"/>
          <w:sz w:val="24"/>
        </w:rPr>
        <w:t>当本项目（包）涉及预留份额专门面向中小企业采购</w:t>
      </w:r>
      <w:r>
        <w:rPr>
          <w:rFonts w:hint="eastAsia"/>
          <w:i/>
          <w:color w:val="FF0000"/>
          <w:sz w:val="24"/>
        </w:rPr>
        <w:t>，</w:t>
      </w:r>
      <w:r>
        <w:rPr>
          <w:i/>
          <w:color w:val="FF0000"/>
          <w:sz w:val="24"/>
        </w:rPr>
        <w:t>此时建议在《资格证明文件》中提供。</w:t>
      </w:r>
      <w:r>
        <w:rPr>
          <w:rFonts w:hint="eastAsia"/>
          <w:i/>
          <w:color w:val="FF0000"/>
          <w:sz w:val="24"/>
        </w:rPr>
        <w:t>不属于该情况的，本项可删除，防止误导供应商)</w:t>
      </w:r>
    </w:p>
    <w:p w14:paraId="12CBBDDA">
      <w:pPr>
        <w:tabs>
          <w:tab w:val="left" w:pos="5580"/>
        </w:tabs>
        <w:spacing w:line="360" w:lineRule="auto"/>
        <w:rPr>
          <w:sz w:val="24"/>
        </w:rPr>
      </w:pPr>
    </w:p>
    <w:p w14:paraId="35EC77BA">
      <w:pPr>
        <w:tabs>
          <w:tab w:val="left" w:pos="5580"/>
        </w:tabs>
        <w:spacing w:line="360" w:lineRule="auto"/>
        <w:rPr>
          <w:sz w:val="24"/>
        </w:rPr>
      </w:pPr>
      <w:r>
        <w:rPr>
          <w:sz w:val="24"/>
        </w:rPr>
        <w:t>说明：</w:t>
      </w:r>
    </w:p>
    <w:p w14:paraId="150CC9F0">
      <w:pPr>
        <w:tabs>
          <w:tab w:val="left" w:pos="5580"/>
        </w:tabs>
        <w:spacing w:line="360" w:lineRule="auto"/>
        <w:rPr>
          <w:sz w:val="24"/>
        </w:rPr>
      </w:pPr>
      <w:r>
        <w:rPr>
          <w:sz w:val="24"/>
        </w:rPr>
        <w:t>（1）如本项目（包）不专门面向中小企业预留采购份额，</w:t>
      </w:r>
      <w:r>
        <w:rPr>
          <w:rFonts w:hint="eastAsia"/>
          <w:sz w:val="24"/>
        </w:rPr>
        <w:t>供应商非必须</w:t>
      </w:r>
      <w:r>
        <w:rPr>
          <w:sz w:val="24"/>
        </w:rPr>
        <w:t>提供</w:t>
      </w:r>
      <w:r>
        <w:rPr>
          <w:rFonts w:hint="eastAsia"/>
          <w:sz w:val="24"/>
        </w:rPr>
        <w:t>；当小微企业拟享受中小企业扶持政策时，仍应提供</w:t>
      </w:r>
      <w:r>
        <w:rPr>
          <w:sz w:val="24"/>
        </w:rPr>
        <w:t>《中小企业声明函》</w:t>
      </w:r>
      <w:r>
        <w:rPr>
          <w:rFonts w:hint="eastAsia"/>
          <w:sz w:val="24"/>
        </w:rPr>
        <w:t>，否则不予认可</w:t>
      </w:r>
      <w:r>
        <w:rPr>
          <w:sz w:val="24"/>
        </w:rPr>
        <w:t>。</w:t>
      </w:r>
    </w:p>
    <w:p w14:paraId="43E83EA4">
      <w:pPr>
        <w:tabs>
          <w:tab w:val="left" w:pos="5580"/>
        </w:tabs>
        <w:spacing w:line="360" w:lineRule="auto"/>
        <w:rPr>
          <w:sz w:val="24"/>
        </w:rPr>
      </w:pPr>
      <w:r>
        <w:rPr>
          <w:sz w:val="24"/>
        </w:rPr>
        <w:t>（2）如本项目（包）专门面向中小/小微企业采购，须提供《中小企业声明函》（实质性格式）。</w:t>
      </w:r>
    </w:p>
    <w:p w14:paraId="06E810BD">
      <w:pPr>
        <w:tabs>
          <w:tab w:val="left" w:pos="5580"/>
        </w:tabs>
        <w:spacing w:line="360" w:lineRule="auto"/>
        <w:rPr>
          <w:sz w:val="24"/>
        </w:rPr>
      </w:pPr>
      <w:r>
        <w:rPr>
          <w:sz w:val="24"/>
        </w:rPr>
        <w:t>（3）如本项目（包）预留部分采购项目预算专门面向中小企业采购，要求供应商以联合体形式参加采购活动，且联合体中中小企业承担的部分达到一定比例的，须提供《联合协议》；要求获得采购合同的供应商将采购项目中的一定比例分包给一家或者多家中小企业的，须提供《拟分包情况说明及分包意向协议（类型一）》。</w:t>
      </w:r>
    </w:p>
    <w:p w14:paraId="18E7209A">
      <w:pPr>
        <w:tabs>
          <w:tab w:val="left" w:pos="5580"/>
        </w:tabs>
        <w:spacing w:line="360" w:lineRule="auto"/>
        <w:rPr>
          <w:sz w:val="24"/>
        </w:rPr>
      </w:pPr>
      <w:r>
        <w:rPr>
          <w:sz w:val="24"/>
        </w:rPr>
        <w:t>（4）其他</w:t>
      </w:r>
    </w:p>
    <w:p w14:paraId="0E5519D0">
      <w:pPr>
        <w:tabs>
          <w:tab w:val="left" w:pos="5580"/>
        </w:tabs>
        <w:spacing w:line="360" w:lineRule="auto"/>
        <w:rPr>
          <w:sz w:val="24"/>
        </w:rPr>
      </w:pPr>
      <w:r>
        <w:rPr>
          <w:sz w:val="24"/>
        </w:rPr>
        <w:t>1）中小企业参加政府采购活动，应当出具此格式文件。《中小企业声明函》由参加政府采购活动的供应商出具。联合体响应的，《中小企业声明函》由牵头人出具。</w:t>
      </w:r>
    </w:p>
    <w:p w14:paraId="4B45100B">
      <w:pPr>
        <w:tabs>
          <w:tab w:val="left" w:pos="5580"/>
        </w:tabs>
        <w:spacing w:line="360" w:lineRule="auto"/>
        <w:rPr>
          <w:sz w:val="24"/>
        </w:rPr>
      </w:pPr>
      <w:r>
        <w:rPr>
          <w:sz w:val="24"/>
        </w:rPr>
        <w:t>2）对于联合体中由中小企业承担的部分，或者分包给中小企业的部分，必须全部由中小企业制造、承建或者承接。供应商应当在声明函“项目名称”部分标明联合体中中小企业承担的具体内容或者中小企业的具体分包内容。</w:t>
      </w:r>
    </w:p>
    <w:p w14:paraId="0071FFB0">
      <w:pPr>
        <w:tabs>
          <w:tab w:val="left" w:pos="5580"/>
        </w:tabs>
        <w:spacing w:line="360" w:lineRule="auto"/>
        <w:rPr>
          <w:sz w:val="24"/>
        </w:rPr>
      </w:pPr>
      <w:r>
        <w:rPr>
          <w:sz w:val="24"/>
        </w:rPr>
        <w:t>3）对于多标的的采购项目，供应商应充分、准确地了解所投产品制造企业信息。对相关情况了解不清楚的，不建议填报本声明函。</w:t>
      </w:r>
    </w:p>
    <w:p w14:paraId="5C34438B">
      <w:pPr>
        <w:tabs>
          <w:tab w:val="left" w:pos="5580"/>
        </w:tabs>
        <w:spacing w:line="360" w:lineRule="auto"/>
        <w:rPr>
          <w:sz w:val="24"/>
        </w:rPr>
      </w:pPr>
      <w:r>
        <w:rPr>
          <w:sz w:val="24"/>
        </w:rPr>
        <w:t>（5）温馨提示：为方便广大中小企业识别企业规模类型，工业和信息化部组织开发了中小企业规模类型自测小程序，在国务院客户端和工业和信息化部网站上均有链接，供应商填写所属的行业和指标数据可自动生成企业规模类型测试结果。</w:t>
      </w:r>
      <w:r>
        <w:rPr>
          <w:sz w:val="24"/>
        </w:rPr>
        <w:br w:type="page" w:clear="all"/>
      </w:r>
    </w:p>
    <w:p w14:paraId="7A45E590">
      <w:pPr>
        <w:spacing w:line="360" w:lineRule="auto"/>
        <w:jc w:val="center"/>
        <w:rPr>
          <w:b/>
          <w:bCs/>
          <w:color w:val="000000"/>
          <w:sz w:val="24"/>
        </w:rPr>
      </w:pPr>
      <w:r>
        <w:rPr>
          <w:b/>
          <w:color w:val="000000"/>
          <w:sz w:val="36"/>
          <w:szCs w:val="36"/>
        </w:rPr>
        <w:t>中小企业声明函（工程、服务）格式</w:t>
      </w:r>
    </w:p>
    <w:p w14:paraId="633DB4CF">
      <w:pPr>
        <w:spacing w:line="360" w:lineRule="auto"/>
        <w:ind w:firstLine="504"/>
        <w:rPr>
          <w:spacing w:val="6"/>
          <w:sz w:val="24"/>
        </w:rPr>
      </w:pPr>
      <w:r>
        <w:rPr>
          <w:spacing w:val="6"/>
          <w:sz w:val="24"/>
        </w:rPr>
        <w:t>本公司（联合体）郑重声明，根据《政府采购促进中小企业发展管理办法》（财库﹝2020﹞46 号）的规定，本公司（联合体）参加（单位名称）的（项目名称）采购活动，工程的施工单位全部为符合政策要求的中小企业（或者：服务全部由符合政策要求的中小企业承接）。相关企业（含联合体中的中小企业、签订分包意向协议的中小企业）的具体情况如下：</w:t>
      </w:r>
    </w:p>
    <w:p w14:paraId="6055D719">
      <w:pPr>
        <w:spacing w:line="360" w:lineRule="auto"/>
        <w:ind w:firstLine="504"/>
        <w:rPr>
          <w:spacing w:val="6"/>
          <w:sz w:val="24"/>
        </w:rPr>
      </w:pPr>
      <w:r>
        <w:rPr>
          <w:spacing w:val="6"/>
          <w:sz w:val="24"/>
        </w:rPr>
        <w:t>1.</w:t>
      </w:r>
      <w:r>
        <w:rPr>
          <w:spacing w:val="6"/>
          <w:sz w:val="24"/>
          <w:u w:val="single"/>
        </w:rPr>
        <w:t>（标的名称）</w:t>
      </w:r>
      <w:r>
        <w:rPr>
          <w:spacing w:val="6"/>
          <w:sz w:val="24"/>
        </w:rPr>
        <w:t>，属于</w:t>
      </w:r>
      <w:r>
        <w:rPr>
          <w:spacing w:val="6"/>
          <w:sz w:val="24"/>
          <w:u w:val="single"/>
        </w:rPr>
        <w:t>（采购文件中明确的所属行业）</w:t>
      </w:r>
      <w:r>
        <w:rPr>
          <w:spacing w:val="6"/>
          <w:sz w:val="24"/>
        </w:rPr>
        <w:t>行业；承建（承接）企业为</w:t>
      </w:r>
      <w:r>
        <w:rPr>
          <w:spacing w:val="6"/>
          <w:sz w:val="24"/>
          <w:u w:val="single"/>
        </w:rPr>
        <w:t>（企业名称）</w:t>
      </w:r>
      <w:r>
        <w:rPr>
          <w:spacing w:val="6"/>
          <w:sz w:val="24"/>
        </w:rPr>
        <w:t>，从业人员______人，营业收入为______万元，资产总额为______万元</w:t>
      </w:r>
      <w:r>
        <w:rPr>
          <w:spacing w:val="6"/>
          <w:sz w:val="24"/>
          <w:vertAlign w:val="superscript"/>
        </w:rPr>
        <w:t>1</w:t>
      </w:r>
      <w:r>
        <w:rPr>
          <w:spacing w:val="6"/>
          <w:sz w:val="24"/>
        </w:rPr>
        <w:t>，属于（中型企业、小型企业、微型企业）；</w:t>
      </w:r>
    </w:p>
    <w:p w14:paraId="24D94BB2">
      <w:pPr>
        <w:spacing w:line="360" w:lineRule="auto"/>
        <w:ind w:firstLine="504"/>
        <w:rPr>
          <w:spacing w:val="6"/>
          <w:sz w:val="24"/>
        </w:rPr>
      </w:pPr>
      <w:r>
        <w:rPr>
          <w:spacing w:val="6"/>
          <w:sz w:val="24"/>
        </w:rPr>
        <w:t>2.</w:t>
      </w:r>
      <w:r>
        <w:rPr>
          <w:spacing w:val="6"/>
          <w:sz w:val="24"/>
          <w:u w:val="single"/>
        </w:rPr>
        <w:t>（标的名称）</w:t>
      </w:r>
      <w:r>
        <w:rPr>
          <w:spacing w:val="6"/>
          <w:sz w:val="24"/>
        </w:rPr>
        <w:t>，属于</w:t>
      </w:r>
      <w:r>
        <w:rPr>
          <w:spacing w:val="6"/>
          <w:sz w:val="24"/>
          <w:u w:val="single"/>
        </w:rPr>
        <w:t>（采购文件中明确的所属行业）</w:t>
      </w:r>
      <w:r>
        <w:rPr>
          <w:spacing w:val="6"/>
          <w:sz w:val="24"/>
        </w:rPr>
        <w:t>行业；承建（承接）企业为</w:t>
      </w:r>
      <w:r>
        <w:rPr>
          <w:spacing w:val="6"/>
          <w:sz w:val="24"/>
          <w:u w:val="single"/>
        </w:rPr>
        <w:t>（企业名称）</w:t>
      </w:r>
      <w:r>
        <w:rPr>
          <w:spacing w:val="6"/>
          <w:sz w:val="24"/>
        </w:rPr>
        <w:t>，从业人员______人，营业收入为______万元，资产总额为______万元，属于</w:t>
      </w:r>
      <w:r>
        <w:rPr>
          <w:spacing w:val="6"/>
          <w:sz w:val="24"/>
          <w:u w:val="single"/>
        </w:rPr>
        <w:t>（中型企业、小型企业、微型企业）</w:t>
      </w:r>
      <w:r>
        <w:rPr>
          <w:spacing w:val="6"/>
          <w:sz w:val="24"/>
        </w:rPr>
        <w:t>；</w:t>
      </w:r>
    </w:p>
    <w:p w14:paraId="2807CB9F">
      <w:pPr>
        <w:spacing w:line="360" w:lineRule="auto"/>
        <w:ind w:firstLine="504"/>
        <w:rPr>
          <w:spacing w:val="6"/>
          <w:sz w:val="24"/>
        </w:rPr>
      </w:pPr>
    </w:p>
    <w:p w14:paraId="21186783">
      <w:pPr>
        <w:spacing w:line="360" w:lineRule="auto"/>
        <w:ind w:firstLine="504"/>
        <w:rPr>
          <w:spacing w:val="6"/>
          <w:sz w:val="24"/>
        </w:rPr>
      </w:pPr>
      <w:r>
        <w:rPr>
          <w:spacing w:val="6"/>
          <w:sz w:val="24"/>
        </w:rPr>
        <w:t>……</w:t>
      </w:r>
    </w:p>
    <w:p w14:paraId="1E93EE8C">
      <w:pPr>
        <w:spacing w:line="360" w:lineRule="auto"/>
        <w:ind w:firstLine="504"/>
        <w:rPr>
          <w:spacing w:val="6"/>
          <w:sz w:val="24"/>
        </w:rPr>
      </w:pPr>
      <w:r>
        <w:rPr>
          <w:spacing w:val="6"/>
          <w:sz w:val="24"/>
        </w:rPr>
        <w:t>以上企业，不属于大企业的分支机构，不存在控股股东为大企业的情形，也不存在与大企业的负责人为同一人的情形。</w:t>
      </w:r>
    </w:p>
    <w:p w14:paraId="5DAF9799">
      <w:pPr>
        <w:spacing w:line="360" w:lineRule="auto"/>
        <w:ind w:firstLine="504"/>
        <w:rPr>
          <w:spacing w:val="6"/>
          <w:sz w:val="24"/>
        </w:rPr>
      </w:pPr>
      <w:r>
        <w:rPr>
          <w:spacing w:val="6"/>
          <w:sz w:val="24"/>
        </w:rPr>
        <w:t>本企业对上述声明内容的真实性负责。如有虚假，将依法承担相应责任。</w:t>
      </w:r>
    </w:p>
    <w:p w14:paraId="70ED024B">
      <w:pPr>
        <w:spacing w:line="360" w:lineRule="auto"/>
        <w:ind w:right="360" w:firstLine="480"/>
        <w:jc w:val="right"/>
        <w:rPr>
          <w:color w:val="000000"/>
          <w:sz w:val="24"/>
        </w:rPr>
      </w:pPr>
    </w:p>
    <w:p w14:paraId="7A95284B">
      <w:pPr>
        <w:spacing w:line="360" w:lineRule="auto"/>
        <w:ind w:right="360" w:firstLine="480"/>
        <w:jc w:val="right"/>
        <w:rPr>
          <w:color w:val="000000"/>
          <w:sz w:val="24"/>
        </w:rPr>
      </w:pPr>
      <w:r>
        <w:rPr>
          <w:color w:val="000000"/>
          <w:sz w:val="24"/>
        </w:rPr>
        <w:t>企业名称（盖章）：________</w:t>
      </w:r>
    </w:p>
    <w:p w14:paraId="058398B9">
      <w:pPr>
        <w:spacing w:line="360" w:lineRule="auto"/>
        <w:ind w:right="360" w:firstLine="480"/>
        <w:jc w:val="right"/>
        <w:rPr>
          <w:color w:val="000000"/>
          <w:sz w:val="24"/>
        </w:rPr>
      </w:pPr>
      <w:r>
        <w:rPr>
          <w:color w:val="000000"/>
          <w:sz w:val="24"/>
        </w:rPr>
        <w:t>日 期：________</w:t>
      </w:r>
    </w:p>
    <w:p w14:paraId="2B7C1E3F">
      <w:pPr>
        <w:jc w:val="left"/>
        <w:rPr>
          <w:color w:val="000000"/>
          <w:sz w:val="24"/>
          <w:szCs w:val="21"/>
        </w:rPr>
      </w:pPr>
    </w:p>
    <w:p w14:paraId="602D50B6">
      <w:pPr>
        <w:jc w:val="left"/>
        <w:rPr>
          <w:color w:val="000000"/>
          <w:sz w:val="24"/>
          <w:szCs w:val="21"/>
        </w:rPr>
      </w:pPr>
    </w:p>
    <w:tbl>
      <w:tblPr>
        <w:tblStyle w:val="30"/>
        <w:tblW w:w="0" w:type="auto"/>
        <w:tblInd w:w="-108" w:type="dxa"/>
        <w:tblBorders>
          <w:top w:val="single" w:color="000000" w:sz="4" w:space="0"/>
          <w:left w:val="none" w:color="000000" w:sz="0" w:space="0"/>
          <w:bottom w:val="none" w:color="000000" w:sz="0" w:space="0"/>
          <w:right w:val="none" w:color="000000" w:sz="0" w:space="0"/>
          <w:insideH w:val="none" w:color="000000" w:sz="0" w:space="0"/>
          <w:insideV w:val="none" w:color="000000" w:sz="0" w:space="0"/>
        </w:tblBorders>
        <w:tblLayout w:type="autofit"/>
        <w:tblCellMar>
          <w:top w:w="0" w:type="dxa"/>
          <w:left w:w="108" w:type="dxa"/>
          <w:bottom w:w="0" w:type="dxa"/>
          <w:right w:w="108" w:type="dxa"/>
        </w:tblCellMar>
      </w:tblPr>
      <w:tblGrid>
        <w:gridCol w:w="8946"/>
      </w:tblGrid>
      <w:tr w14:paraId="46A72544">
        <w:tblPrEx>
          <w:tblBorders>
            <w:top w:val="single" w:color="000000" w:sz="4" w:space="0"/>
            <w:left w:val="none" w:color="000000" w:sz="0" w:space="0"/>
            <w:bottom w:val="none" w:color="000000" w:sz="0" w:space="0"/>
            <w:right w:val="none" w:color="000000" w:sz="0" w:space="0"/>
            <w:insideH w:val="none" w:color="000000" w:sz="0" w:space="0"/>
            <w:insideV w:val="none" w:color="000000" w:sz="0" w:space="0"/>
          </w:tblBorders>
          <w:tblCellMar>
            <w:top w:w="0" w:type="dxa"/>
            <w:left w:w="108" w:type="dxa"/>
            <w:bottom w:w="0" w:type="dxa"/>
            <w:right w:w="108" w:type="dxa"/>
          </w:tblCellMar>
        </w:tblPrEx>
        <w:tc>
          <w:tcPr>
            <w:tcW w:w="8946" w:type="dxa"/>
            <w:noWrap w:val="0"/>
            <w:vAlign w:val="top"/>
          </w:tcPr>
          <w:p w14:paraId="7F90348B">
            <w:pPr>
              <w:jc w:val="left"/>
              <w:rPr>
                <w:color w:val="000000"/>
                <w:szCs w:val="21"/>
              </w:rPr>
            </w:pPr>
            <w:r>
              <w:rPr>
                <w:color w:val="000000"/>
                <w:szCs w:val="21"/>
                <w:vertAlign w:val="superscript"/>
              </w:rPr>
              <w:t>1</w:t>
            </w:r>
            <w:r>
              <w:rPr>
                <w:color w:val="000000"/>
                <w:szCs w:val="21"/>
              </w:rPr>
              <w:t>从业人员、营业收入、资产总额填报上一年度数据，无上一年度数据的新成立企业可不填报。</w:t>
            </w:r>
          </w:p>
        </w:tc>
      </w:tr>
    </w:tbl>
    <w:p w14:paraId="77B886CC">
      <w:pPr>
        <w:jc w:val="left"/>
        <w:rPr>
          <w:color w:val="000000"/>
          <w:szCs w:val="21"/>
          <w:vertAlign w:val="superscript"/>
        </w:rPr>
      </w:pPr>
    </w:p>
    <w:p w14:paraId="4E0D3199">
      <w:pPr>
        <w:spacing w:line="360" w:lineRule="auto"/>
        <w:ind w:right="360" w:firstLine="480"/>
        <w:jc w:val="right"/>
        <w:rPr>
          <w:color w:val="000000"/>
          <w:sz w:val="24"/>
        </w:rPr>
      </w:pPr>
    </w:p>
    <w:p w14:paraId="7E4C532B">
      <w:pPr>
        <w:spacing w:line="360" w:lineRule="auto"/>
        <w:ind w:right="360" w:firstLine="480"/>
        <w:jc w:val="right"/>
        <w:rPr>
          <w:color w:val="000000"/>
          <w:sz w:val="24"/>
        </w:rPr>
      </w:pPr>
    </w:p>
    <w:p w14:paraId="3AF68F0E">
      <w:pPr>
        <w:spacing w:line="360" w:lineRule="auto"/>
        <w:outlineLvl w:val="2"/>
        <w:rPr>
          <w:color w:val="000000"/>
          <w:sz w:val="24"/>
          <w:szCs w:val="20"/>
        </w:rPr>
      </w:pPr>
      <w:r>
        <w:rPr>
          <w:color w:val="000000"/>
          <w:sz w:val="24"/>
          <w:szCs w:val="20"/>
        </w:rPr>
        <w:br w:type="page" w:clear="all"/>
      </w:r>
    </w:p>
    <w:p w14:paraId="6DD970EF">
      <w:pPr>
        <w:spacing w:before="240" w:after="240" w:line="360" w:lineRule="auto"/>
        <w:jc w:val="center"/>
        <w:rPr>
          <w:color w:val="000000"/>
          <w:sz w:val="36"/>
          <w:szCs w:val="36"/>
        </w:rPr>
      </w:pPr>
      <w:r>
        <w:rPr>
          <w:b/>
          <w:bCs/>
          <w:color w:val="000000"/>
          <w:sz w:val="36"/>
          <w:szCs w:val="36"/>
        </w:rPr>
        <w:t>残疾人福利性单位声明函格式</w:t>
      </w:r>
      <w:r>
        <w:rPr>
          <w:color w:val="000000"/>
          <w:sz w:val="36"/>
          <w:szCs w:val="36"/>
        </w:rPr>
        <w:t xml:space="preserve">       </w:t>
      </w:r>
    </w:p>
    <w:p w14:paraId="4D811C69">
      <w:pPr>
        <w:spacing w:line="588" w:lineRule="exact"/>
        <w:ind w:firstLine="504"/>
        <w:rPr>
          <w:spacing w:val="6"/>
          <w:sz w:val="24"/>
        </w:rPr>
      </w:pPr>
      <w:r>
        <w:rPr>
          <w:spacing w:val="6"/>
          <w:sz w:val="24"/>
        </w:rPr>
        <w:t>本单位郑重声明，根据《财政部 民政部 中国残疾人联合会关于促进残疾人就业政府采购政策的通知》（财库</w:t>
      </w:r>
      <w:r>
        <w:rPr>
          <w:sz w:val="24"/>
        </w:rPr>
        <w:t>〔2017〕 141</w:t>
      </w:r>
      <w:r>
        <w:rPr>
          <w:spacing w:val="6"/>
          <w:sz w:val="24"/>
        </w:rPr>
        <w:t>号）的规定，本单位</w:t>
      </w:r>
      <w:r>
        <w:rPr>
          <w:b/>
          <w:sz w:val="24"/>
        </w:rPr>
        <w:t>（请进行勾选）</w:t>
      </w:r>
      <w:r>
        <w:rPr>
          <w:spacing w:val="6"/>
          <w:sz w:val="24"/>
        </w:rPr>
        <w:t>：</w:t>
      </w:r>
    </w:p>
    <w:p w14:paraId="3F57BDD2">
      <w:pPr>
        <w:spacing w:line="588" w:lineRule="exact"/>
        <w:ind w:firstLine="482"/>
        <w:rPr>
          <w:b/>
          <w:spacing w:val="6"/>
          <w:sz w:val="24"/>
        </w:rPr>
      </w:pPr>
      <w:r>
        <w:rPr>
          <w:b/>
          <w:sz w:val="24"/>
        </w:rPr>
        <w:t>□</w:t>
      </w:r>
      <w:r>
        <w:rPr>
          <w:b/>
          <w:spacing w:val="6"/>
          <w:sz w:val="24"/>
        </w:rPr>
        <w:t>不属于符合条件的残疾人福利性单位。</w:t>
      </w:r>
    </w:p>
    <w:p w14:paraId="51A74146">
      <w:pPr>
        <w:spacing w:line="588" w:lineRule="exact"/>
        <w:ind w:firstLine="482"/>
        <w:rPr>
          <w:spacing w:val="6"/>
          <w:sz w:val="24"/>
        </w:rPr>
      </w:pPr>
      <w:r>
        <w:rPr>
          <w:b/>
          <w:sz w:val="24"/>
        </w:rPr>
        <w:t>□</w:t>
      </w:r>
      <w:r>
        <w:rPr>
          <w:b/>
          <w:spacing w:val="6"/>
          <w:sz w:val="24"/>
        </w:rPr>
        <w:t>属于符合条件的残疾人福利性单位，</w:t>
      </w:r>
      <w:r>
        <w:rPr>
          <w:spacing w:val="6"/>
          <w:sz w:val="24"/>
        </w:rPr>
        <w:t>且本单位参加______单位的______项目采购活动提供本单位制造的货物（由本单位承担工程/提供服务），或者提供其他残疾人福利性单位制造的货物（不包括使用非残疾人福利性单位注册商标的货物）。</w:t>
      </w:r>
    </w:p>
    <w:p w14:paraId="578F3316">
      <w:pPr>
        <w:spacing w:line="588" w:lineRule="exact"/>
        <w:ind w:firstLine="506"/>
        <w:rPr>
          <w:spacing w:val="6"/>
          <w:sz w:val="24"/>
        </w:rPr>
      </w:pPr>
      <w:r>
        <w:rPr>
          <w:b/>
          <w:spacing w:val="6"/>
          <w:sz w:val="24"/>
        </w:rPr>
        <w:t>本单位对上述声明的真实性负责。如有虚假，将依法承担相应责任。</w:t>
      </w:r>
    </w:p>
    <w:p w14:paraId="532E94B9">
      <w:pPr>
        <w:spacing w:line="588" w:lineRule="exact"/>
        <w:ind w:firstLine="504"/>
        <w:rPr>
          <w:spacing w:val="6"/>
          <w:sz w:val="24"/>
        </w:rPr>
      </w:pPr>
    </w:p>
    <w:p w14:paraId="32157AC6">
      <w:pPr>
        <w:spacing w:line="588" w:lineRule="exact"/>
        <w:ind w:firstLine="504"/>
        <w:rPr>
          <w:spacing w:val="6"/>
          <w:sz w:val="24"/>
        </w:rPr>
      </w:pPr>
    </w:p>
    <w:p w14:paraId="6DF46CEF">
      <w:pPr>
        <w:tabs>
          <w:tab w:val="left" w:pos="4860"/>
        </w:tabs>
        <w:spacing w:line="588" w:lineRule="exact"/>
        <w:ind w:right="1560" w:firstLine="504"/>
        <w:jc w:val="center"/>
        <w:rPr>
          <w:spacing w:val="6"/>
          <w:sz w:val="24"/>
        </w:rPr>
      </w:pPr>
      <w:r>
        <w:rPr>
          <w:spacing w:val="6"/>
          <w:sz w:val="24"/>
        </w:rPr>
        <w:t xml:space="preserve">               单位名称（盖章）：</w:t>
      </w:r>
    </w:p>
    <w:p w14:paraId="04028D67">
      <w:pPr>
        <w:tabs>
          <w:tab w:val="left" w:pos="4860"/>
        </w:tabs>
        <w:spacing w:line="588" w:lineRule="exact"/>
        <w:ind w:right="1560" w:firstLine="504"/>
        <w:jc w:val="center"/>
        <w:rPr>
          <w:spacing w:val="6"/>
          <w:sz w:val="24"/>
        </w:rPr>
      </w:pPr>
      <w:r>
        <w:rPr>
          <w:spacing w:val="6"/>
          <w:sz w:val="24"/>
        </w:rPr>
        <w:t xml:space="preserve">       日  期：</w:t>
      </w:r>
    </w:p>
    <w:p w14:paraId="754807C0">
      <w:pPr>
        <w:widowControl/>
        <w:jc w:val="left"/>
        <w:rPr>
          <w:color w:val="000000"/>
          <w:sz w:val="24"/>
          <w:szCs w:val="20"/>
        </w:rPr>
      </w:pPr>
      <w:r>
        <w:rPr>
          <w:color w:val="000000"/>
          <w:sz w:val="24"/>
          <w:szCs w:val="20"/>
        </w:rPr>
        <w:br w:type="page" w:clear="all"/>
      </w:r>
    </w:p>
    <w:p w14:paraId="3838588F">
      <w:pPr>
        <w:spacing w:line="360" w:lineRule="auto"/>
        <w:outlineLvl w:val="2"/>
        <w:rPr>
          <w:color w:val="000000"/>
          <w:sz w:val="24"/>
          <w:szCs w:val="20"/>
        </w:rPr>
      </w:pPr>
      <w:r>
        <w:rPr>
          <w:color w:val="000000"/>
          <w:sz w:val="24"/>
          <w:szCs w:val="20"/>
        </w:rPr>
        <w:t>2-3 其它落实政府采购政策的资格要求（如有）</w:t>
      </w:r>
    </w:p>
    <w:p w14:paraId="6CCAFF3D">
      <w:pPr>
        <w:widowControl/>
        <w:jc w:val="left"/>
        <w:rPr>
          <w:sz w:val="24"/>
        </w:rPr>
      </w:pPr>
      <w:r>
        <w:rPr>
          <w:sz w:val="24"/>
        </w:rPr>
        <w:br w:type="page" w:clear="all"/>
      </w:r>
    </w:p>
    <w:p w14:paraId="4B804E38">
      <w:pPr>
        <w:widowControl/>
        <w:jc w:val="left"/>
        <w:rPr>
          <w:sz w:val="24"/>
        </w:rPr>
      </w:pPr>
    </w:p>
    <w:p w14:paraId="5989AEBE">
      <w:pPr>
        <w:spacing w:line="360" w:lineRule="auto"/>
        <w:outlineLvl w:val="2"/>
        <w:rPr>
          <w:rFonts w:hint="eastAsia" w:eastAsia="宋体"/>
          <w:sz w:val="24"/>
          <w:szCs w:val="20"/>
          <w:lang w:eastAsia="zh-CN"/>
        </w:rPr>
      </w:pPr>
      <w:r>
        <w:rPr>
          <w:color w:val="000000"/>
          <w:sz w:val="24"/>
          <w:szCs w:val="20"/>
        </w:rPr>
        <w:t>3-2其他</w:t>
      </w:r>
      <w:r>
        <w:rPr>
          <w:sz w:val="24"/>
          <w:szCs w:val="20"/>
        </w:rPr>
        <w:t>特定资格要求</w:t>
      </w:r>
      <w:r>
        <w:rPr>
          <w:rFonts w:hint="eastAsia"/>
          <w:sz w:val="24"/>
          <w:szCs w:val="20"/>
          <w:lang w:eastAsia="zh-CN"/>
        </w:rPr>
        <w:t>（</w:t>
      </w:r>
      <w:r>
        <w:rPr>
          <w:rFonts w:hint="eastAsia"/>
          <w:sz w:val="24"/>
          <w:szCs w:val="20"/>
          <w:lang w:val="en-US" w:eastAsia="zh-CN"/>
        </w:rPr>
        <w:t>如有</w:t>
      </w:r>
      <w:r>
        <w:rPr>
          <w:rFonts w:hint="eastAsia"/>
          <w:sz w:val="24"/>
          <w:szCs w:val="20"/>
          <w:lang w:eastAsia="zh-CN"/>
        </w:rPr>
        <w:t>）</w:t>
      </w:r>
    </w:p>
    <w:p w14:paraId="13C92C2D">
      <w:pPr>
        <w:tabs>
          <w:tab w:val="left" w:pos="5580"/>
        </w:tabs>
        <w:spacing w:line="360" w:lineRule="auto"/>
        <w:rPr>
          <w:sz w:val="24"/>
        </w:rPr>
      </w:pPr>
    </w:p>
    <w:p w14:paraId="6FA5967A">
      <w:pPr>
        <w:tabs>
          <w:tab w:val="left" w:pos="5580"/>
        </w:tabs>
        <w:spacing w:line="360" w:lineRule="auto"/>
        <w:rPr>
          <w:sz w:val="24"/>
          <w:szCs w:val="20"/>
        </w:rPr>
      </w:pPr>
    </w:p>
    <w:p w14:paraId="3EDBFCC5">
      <w:pPr>
        <w:widowControl/>
        <w:jc w:val="left"/>
        <w:rPr>
          <w:sz w:val="24"/>
          <w:szCs w:val="20"/>
        </w:rPr>
      </w:pPr>
    </w:p>
    <w:p w14:paraId="68C85E09">
      <w:pPr>
        <w:widowControl/>
        <w:jc w:val="left"/>
        <w:rPr>
          <w:color w:val="000000"/>
          <w:sz w:val="24"/>
          <w:szCs w:val="20"/>
        </w:rPr>
      </w:pPr>
      <w:bookmarkStart w:id="659" w:name="_Hlt520274393"/>
      <w:bookmarkEnd w:id="659"/>
      <w:bookmarkStart w:id="660" w:name="_Hlt520274407"/>
      <w:bookmarkEnd w:id="660"/>
      <w:bookmarkStart w:id="661" w:name="_Hlt520343000"/>
      <w:bookmarkEnd w:id="661"/>
      <w:bookmarkStart w:id="662" w:name="_Hlt520355504"/>
      <w:bookmarkEnd w:id="662"/>
      <w:bookmarkStart w:id="663" w:name="_Hlt520350918"/>
      <w:bookmarkEnd w:id="663"/>
      <w:bookmarkStart w:id="664" w:name="_Hlt520343392"/>
      <w:bookmarkEnd w:id="664"/>
      <w:bookmarkStart w:id="665" w:name="_Hlt520274121"/>
      <w:bookmarkEnd w:id="665"/>
      <w:bookmarkStart w:id="666" w:name="_Hlt520273711"/>
      <w:bookmarkEnd w:id="666"/>
      <w:bookmarkStart w:id="667" w:name="_Hlt520271212"/>
      <w:bookmarkEnd w:id="667"/>
      <w:bookmarkStart w:id="668" w:name="_Hlt520274065"/>
      <w:bookmarkEnd w:id="668"/>
      <w:bookmarkStart w:id="669" w:name="_Ref467988698"/>
      <w:bookmarkStart w:id="670" w:name="_Toc480942349"/>
      <w:bookmarkStart w:id="671" w:name="_Toc226337252"/>
      <w:bookmarkStart w:id="672" w:name="_Toc226965829"/>
      <w:bookmarkStart w:id="673" w:name="_Toc127151556"/>
      <w:bookmarkStart w:id="674" w:name="_Toc520356217"/>
      <w:bookmarkStart w:id="675" w:name="_Toc226309800"/>
      <w:bookmarkStart w:id="676" w:name="_Toc150774761"/>
      <w:bookmarkStart w:id="677" w:name="_Toc195842921"/>
      <w:bookmarkStart w:id="678" w:name="_Toc226965746"/>
      <w:bookmarkStart w:id="679" w:name="_Toc142311058"/>
      <w:bookmarkStart w:id="680" w:name="_Toc150480794"/>
      <w:r>
        <w:rPr>
          <w:color w:val="000000"/>
          <w:sz w:val="24"/>
          <w:szCs w:val="20"/>
        </w:rPr>
        <w:br w:type="page" w:clear="all"/>
      </w:r>
    </w:p>
    <w:p w14:paraId="1685128B">
      <w:pPr>
        <w:spacing w:line="360" w:lineRule="auto"/>
        <w:outlineLvl w:val="2"/>
        <w:rPr>
          <w:color w:val="000000"/>
          <w:sz w:val="24"/>
          <w:szCs w:val="20"/>
        </w:rPr>
      </w:pPr>
      <w:r>
        <w:rPr>
          <w:color w:val="000000"/>
          <w:sz w:val="24"/>
        </w:rPr>
        <w:t>5</w:t>
      </w:r>
      <w:bookmarkEnd w:id="669"/>
      <w:bookmarkEnd w:id="670"/>
      <w:r>
        <w:rPr>
          <w:color w:val="000000"/>
          <w:sz w:val="24"/>
        </w:rPr>
        <w:t xml:space="preserve"> 响应书</w:t>
      </w:r>
      <w:bookmarkEnd w:id="671"/>
      <w:bookmarkEnd w:id="672"/>
      <w:bookmarkEnd w:id="673"/>
      <w:bookmarkEnd w:id="674"/>
      <w:bookmarkEnd w:id="675"/>
      <w:bookmarkEnd w:id="676"/>
      <w:bookmarkEnd w:id="677"/>
      <w:bookmarkEnd w:id="678"/>
      <w:bookmarkEnd w:id="679"/>
      <w:bookmarkEnd w:id="680"/>
    </w:p>
    <w:p w14:paraId="299DBDA9">
      <w:pPr>
        <w:tabs>
          <w:tab w:val="left" w:pos="5580"/>
        </w:tabs>
        <w:spacing w:line="360" w:lineRule="auto"/>
        <w:rPr>
          <w:color w:val="000000"/>
          <w:sz w:val="24"/>
        </w:rPr>
      </w:pPr>
    </w:p>
    <w:p w14:paraId="16513EF6">
      <w:pPr>
        <w:spacing w:line="360" w:lineRule="auto"/>
        <w:jc w:val="center"/>
        <w:rPr>
          <w:b/>
          <w:color w:val="000000"/>
          <w:sz w:val="36"/>
          <w:szCs w:val="36"/>
        </w:rPr>
      </w:pPr>
      <w:r>
        <w:rPr>
          <w:b/>
          <w:color w:val="000000"/>
          <w:sz w:val="36"/>
          <w:szCs w:val="36"/>
        </w:rPr>
        <w:t>响应</w:t>
      </w:r>
      <w:r>
        <w:rPr>
          <w:rFonts w:hint="eastAsia"/>
          <w:b/>
          <w:color w:val="000000"/>
          <w:sz w:val="36"/>
          <w:szCs w:val="36"/>
        </w:rPr>
        <w:t>函</w:t>
      </w:r>
    </w:p>
    <w:p w14:paraId="54CB7EA5">
      <w:pPr>
        <w:tabs>
          <w:tab w:val="left" w:pos="5580"/>
        </w:tabs>
        <w:spacing w:line="360" w:lineRule="auto"/>
        <w:rPr>
          <w:color w:val="000000"/>
          <w:sz w:val="24"/>
        </w:rPr>
      </w:pPr>
      <w:r>
        <w:rPr>
          <w:color w:val="000000"/>
          <w:sz w:val="24"/>
        </w:rPr>
        <w:t>致：</w:t>
      </w:r>
      <w:r>
        <w:rPr>
          <w:color w:val="000000"/>
          <w:sz w:val="24"/>
          <w:u w:val="single"/>
        </w:rPr>
        <w:t>（采购人或采购代理机构）</w:t>
      </w:r>
    </w:p>
    <w:p w14:paraId="2B3C940E">
      <w:pPr>
        <w:tabs>
          <w:tab w:val="left" w:pos="5580"/>
        </w:tabs>
        <w:spacing w:line="360" w:lineRule="auto"/>
        <w:rPr>
          <w:color w:val="000000"/>
          <w:sz w:val="24"/>
          <w:szCs w:val="20"/>
        </w:rPr>
      </w:pPr>
    </w:p>
    <w:p w14:paraId="77D4D5EB">
      <w:pPr>
        <w:tabs>
          <w:tab w:val="left" w:pos="5580"/>
        </w:tabs>
        <w:spacing w:line="360" w:lineRule="auto"/>
        <w:ind w:firstLine="408"/>
        <w:rPr>
          <w:color w:val="000000"/>
          <w:sz w:val="24"/>
          <w:szCs w:val="20"/>
        </w:rPr>
      </w:pPr>
      <w:r>
        <w:rPr>
          <w:color w:val="000000"/>
          <w:sz w:val="24"/>
          <w:szCs w:val="20"/>
        </w:rPr>
        <w:t>我方参加你方就_____________________（项目名称，项目编号/包号）组织的采购活动，并对此项目进行响应。</w:t>
      </w:r>
    </w:p>
    <w:p w14:paraId="38DADF27">
      <w:pPr>
        <w:tabs>
          <w:tab w:val="left" w:pos="5580"/>
        </w:tabs>
        <w:spacing w:line="360" w:lineRule="auto"/>
        <w:ind w:firstLine="408"/>
        <w:rPr>
          <w:color w:val="000000"/>
          <w:sz w:val="24"/>
          <w:szCs w:val="20"/>
        </w:rPr>
      </w:pPr>
      <w:r>
        <w:rPr>
          <w:color w:val="000000"/>
          <w:sz w:val="24"/>
          <w:szCs w:val="20"/>
        </w:rPr>
        <w:t>1. 我方</w:t>
      </w:r>
      <w:r>
        <w:rPr>
          <w:color w:val="000000"/>
          <w:sz w:val="24"/>
        </w:rPr>
        <w:t>已详细审查全部单一来源采购文件</w:t>
      </w:r>
      <w:r>
        <w:rPr>
          <w:color w:val="000000"/>
          <w:sz w:val="24"/>
          <w:szCs w:val="20"/>
        </w:rPr>
        <w:t>，自愿参与响应并承诺如下：</w:t>
      </w:r>
    </w:p>
    <w:p w14:paraId="3DA41A95">
      <w:pPr>
        <w:tabs>
          <w:tab w:val="left" w:pos="720"/>
          <w:tab w:val="left" w:pos="900"/>
        </w:tabs>
        <w:spacing w:line="360" w:lineRule="auto"/>
        <w:ind w:left="360" w:firstLine="72"/>
        <w:rPr>
          <w:color w:val="000000"/>
          <w:sz w:val="24"/>
          <w:szCs w:val="20"/>
        </w:rPr>
      </w:pPr>
      <w:r>
        <w:rPr>
          <w:color w:val="000000"/>
          <w:sz w:val="24"/>
          <w:szCs w:val="20"/>
        </w:rPr>
        <w:t>（1）本响应有效期为自提交响应文件的截止之日起</w:t>
      </w:r>
      <w:r>
        <w:rPr>
          <w:sz w:val="24"/>
        </w:rPr>
        <w:t>_____</w:t>
      </w:r>
      <w:r>
        <w:rPr>
          <w:color w:val="000000"/>
          <w:sz w:val="24"/>
          <w:szCs w:val="20"/>
        </w:rPr>
        <w:t>个日历日。</w:t>
      </w:r>
    </w:p>
    <w:p w14:paraId="0C430E80">
      <w:pPr>
        <w:tabs>
          <w:tab w:val="left" w:pos="720"/>
          <w:tab w:val="left" w:pos="900"/>
        </w:tabs>
        <w:spacing w:line="360" w:lineRule="auto"/>
        <w:ind w:left="360" w:firstLine="72"/>
        <w:rPr>
          <w:color w:val="000000"/>
          <w:sz w:val="24"/>
          <w:szCs w:val="20"/>
        </w:rPr>
      </w:pPr>
      <w:r>
        <w:rPr>
          <w:color w:val="000000"/>
          <w:sz w:val="24"/>
          <w:szCs w:val="20"/>
        </w:rPr>
        <w:t>（2）除合同条款及采购需求偏离表列出的偏离外，我方响应单一来源采购文件的全部要求。</w:t>
      </w:r>
    </w:p>
    <w:p w14:paraId="458B1E41">
      <w:pPr>
        <w:tabs>
          <w:tab w:val="left" w:pos="5580"/>
        </w:tabs>
        <w:spacing w:line="360" w:lineRule="auto"/>
        <w:ind w:firstLine="420"/>
        <w:rPr>
          <w:color w:val="000000"/>
          <w:sz w:val="24"/>
          <w:szCs w:val="20"/>
        </w:rPr>
      </w:pPr>
      <w:r>
        <w:rPr>
          <w:color w:val="000000"/>
          <w:sz w:val="24"/>
          <w:szCs w:val="20"/>
        </w:rPr>
        <w:t>（3）我方已提供的全部文件资料是真实、准确的，并对此承担一切法律后果。</w:t>
      </w:r>
    </w:p>
    <w:p w14:paraId="2B57230C">
      <w:pPr>
        <w:tabs>
          <w:tab w:val="left" w:pos="5580"/>
        </w:tabs>
        <w:spacing w:line="360" w:lineRule="auto"/>
        <w:ind w:firstLine="420"/>
        <w:rPr>
          <w:color w:val="000000"/>
          <w:sz w:val="24"/>
        </w:rPr>
      </w:pPr>
      <w:r>
        <w:rPr>
          <w:color w:val="000000"/>
          <w:sz w:val="24"/>
          <w:szCs w:val="20"/>
        </w:rPr>
        <w:t>（4）如我方成交，我方将在法律规定的期限内与你方签订合同，按照单一来源采购文件要求提交履约保证金，并在合同约定的期限内完成合同规定的全部义务。</w:t>
      </w:r>
    </w:p>
    <w:p w14:paraId="315288FB">
      <w:pPr>
        <w:spacing w:line="360" w:lineRule="auto"/>
        <w:ind w:left="420"/>
        <w:rPr>
          <w:color w:val="000000"/>
          <w:sz w:val="24"/>
        </w:rPr>
      </w:pPr>
      <w:r>
        <w:rPr>
          <w:color w:val="000000"/>
          <w:sz w:val="24"/>
        </w:rPr>
        <w:t>2. 其他补充条款（如有）：</w:t>
      </w:r>
      <w:r>
        <w:rPr>
          <w:color w:val="000000"/>
          <w:sz w:val="24"/>
          <w:szCs w:val="20"/>
        </w:rPr>
        <w:t>_____________________</w:t>
      </w:r>
      <w:r>
        <w:rPr>
          <w:color w:val="000000"/>
          <w:sz w:val="24"/>
        </w:rPr>
        <w:t>。</w:t>
      </w:r>
    </w:p>
    <w:p w14:paraId="51537474">
      <w:pPr>
        <w:spacing w:line="360" w:lineRule="auto"/>
        <w:ind w:firstLine="480"/>
        <w:rPr>
          <w:color w:val="000000"/>
          <w:sz w:val="24"/>
        </w:rPr>
      </w:pPr>
      <w:r>
        <w:rPr>
          <w:color w:val="000000"/>
          <w:sz w:val="24"/>
        </w:rPr>
        <w:t>与本响应有关的一切正式往来信函请寄：</w:t>
      </w:r>
    </w:p>
    <w:p w14:paraId="17FEB21C">
      <w:pPr>
        <w:tabs>
          <w:tab w:val="left" w:pos="5580"/>
        </w:tabs>
        <w:spacing w:line="360" w:lineRule="auto"/>
        <w:ind w:left="420"/>
        <w:rPr>
          <w:color w:val="000000"/>
          <w:sz w:val="24"/>
          <w:szCs w:val="20"/>
        </w:rPr>
      </w:pPr>
    </w:p>
    <w:p w14:paraId="75B0AEE6">
      <w:pPr>
        <w:tabs>
          <w:tab w:val="left" w:pos="5580"/>
        </w:tabs>
        <w:spacing w:line="360" w:lineRule="auto"/>
        <w:ind w:left="420"/>
        <w:rPr>
          <w:color w:val="000000"/>
          <w:sz w:val="24"/>
          <w:szCs w:val="20"/>
        </w:rPr>
      </w:pPr>
      <w:r>
        <w:rPr>
          <w:color w:val="000000"/>
          <w:sz w:val="24"/>
          <w:szCs w:val="20"/>
        </w:rPr>
        <w:t>地址_________________________     传真____________________________</w:t>
      </w:r>
    </w:p>
    <w:p w14:paraId="26FC8941">
      <w:pPr>
        <w:tabs>
          <w:tab w:val="left" w:pos="5580"/>
        </w:tabs>
        <w:spacing w:line="360" w:lineRule="auto"/>
        <w:ind w:left="420"/>
        <w:rPr>
          <w:color w:val="000000"/>
          <w:sz w:val="24"/>
          <w:szCs w:val="20"/>
        </w:rPr>
      </w:pPr>
      <w:r>
        <w:rPr>
          <w:color w:val="000000"/>
          <w:sz w:val="24"/>
          <w:szCs w:val="20"/>
        </w:rPr>
        <w:t>电话_________________________     电子函件________________________</w:t>
      </w:r>
    </w:p>
    <w:p w14:paraId="0095E5B7">
      <w:pPr>
        <w:tabs>
          <w:tab w:val="left" w:pos="5580"/>
        </w:tabs>
        <w:spacing w:line="360" w:lineRule="auto"/>
        <w:ind w:left="420"/>
        <w:rPr>
          <w:color w:val="000000"/>
          <w:sz w:val="24"/>
          <w:szCs w:val="20"/>
        </w:rPr>
      </w:pPr>
    </w:p>
    <w:p w14:paraId="3096B6E2">
      <w:pPr>
        <w:tabs>
          <w:tab w:val="left" w:pos="5580"/>
        </w:tabs>
        <w:spacing w:line="360" w:lineRule="auto"/>
        <w:ind w:left="420"/>
        <w:rPr>
          <w:color w:val="000000"/>
          <w:sz w:val="24"/>
          <w:szCs w:val="20"/>
        </w:rPr>
      </w:pPr>
    </w:p>
    <w:p w14:paraId="7660E21A">
      <w:pPr>
        <w:tabs>
          <w:tab w:val="left" w:pos="5580"/>
        </w:tabs>
        <w:spacing w:line="360" w:lineRule="auto"/>
        <w:ind w:left="420"/>
        <w:rPr>
          <w:color w:val="000000"/>
          <w:sz w:val="24"/>
          <w:szCs w:val="20"/>
        </w:rPr>
      </w:pPr>
    </w:p>
    <w:p w14:paraId="4022D6D7">
      <w:pPr>
        <w:tabs>
          <w:tab w:val="left" w:pos="5580"/>
        </w:tabs>
        <w:spacing w:line="360" w:lineRule="auto"/>
        <w:ind w:left="420"/>
        <w:rPr>
          <w:color w:val="000000"/>
          <w:sz w:val="24"/>
          <w:szCs w:val="20"/>
        </w:rPr>
      </w:pPr>
    </w:p>
    <w:p w14:paraId="50CB66B3">
      <w:pPr>
        <w:tabs>
          <w:tab w:val="left" w:pos="5580"/>
        </w:tabs>
        <w:spacing w:line="360" w:lineRule="auto"/>
        <w:ind w:left="420"/>
        <w:rPr>
          <w:color w:val="000000"/>
          <w:sz w:val="24"/>
          <w:szCs w:val="20"/>
        </w:rPr>
      </w:pPr>
      <w:r>
        <w:rPr>
          <w:color w:val="000000"/>
          <w:sz w:val="24"/>
          <w:szCs w:val="20"/>
        </w:rPr>
        <w:t>供应商名称（加盖公章） _____________________</w:t>
      </w:r>
    </w:p>
    <w:p w14:paraId="6DD6E063">
      <w:pPr>
        <w:tabs>
          <w:tab w:val="left" w:pos="5580"/>
        </w:tabs>
        <w:spacing w:line="360" w:lineRule="auto"/>
        <w:ind w:left="420"/>
        <w:rPr>
          <w:color w:val="000000"/>
          <w:sz w:val="24"/>
          <w:szCs w:val="20"/>
          <w:u w:val="single"/>
        </w:rPr>
      </w:pPr>
      <w:r>
        <w:rPr>
          <w:color w:val="000000"/>
          <w:sz w:val="24"/>
          <w:szCs w:val="20"/>
        </w:rPr>
        <w:t xml:space="preserve">日期：_____年______月______日  </w:t>
      </w:r>
    </w:p>
    <w:p w14:paraId="7B3BC6E2">
      <w:pPr>
        <w:widowControl/>
        <w:jc w:val="left"/>
        <w:rPr>
          <w:color w:val="000000"/>
          <w:sz w:val="24"/>
        </w:rPr>
      </w:pPr>
      <w:bookmarkStart w:id="681" w:name="_Hlt520355938"/>
      <w:bookmarkEnd w:id="681"/>
      <w:bookmarkStart w:id="682" w:name="_Hlt520356243"/>
      <w:bookmarkEnd w:id="682"/>
      <w:bookmarkStart w:id="683" w:name="_Toc226965747"/>
      <w:bookmarkStart w:id="684" w:name="_Toc195842922"/>
      <w:bookmarkStart w:id="685" w:name="_Toc305158899"/>
      <w:bookmarkStart w:id="686" w:name="_Toc265228395"/>
      <w:bookmarkStart w:id="687" w:name="_Toc226337253"/>
      <w:bookmarkStart w:id="688" w:name="_Toc142311059"/>
      <w:bookmarkStart w:id="689" w:name="_Toc226965830"/>
      <w:bookmarkStart w:id="690" w:name="_Toc127151557"/>
      <w:bookmarkStart w:id="691" w:name="_Toc480942350"/>
      <w:bookmarkStart w:id="692" w:name="_Toc264969247"/>
      <w:bookmarkStart w:id="693" w:name="_Toc520356218"/>
      <w:bookmarkStart w:id="694" w:name="_Toc150480795"/>
      <w:bookmarkStart w:id="695" w:name="_Toc305158825"/>
      <w:bookmarkStart w:id="696" w:name="_Toc226309801"/>
      <w:bookmarkStart w:id="697" w:name="_Ref467988705"/>
      <w:bookmarkStart w:id="698" w:name="_Toc150774762"/>
      <w:r>
        <w:rPr>
          <w:color w:val="000000"/>
          <w:sz w:val="24"/>
        </w:rPr>
        <w:br w:type="page" w:clear="all"/>
      </w:r>
    </w:p>
    <w:p w14:paraId="3AA12565">
      <w:pPr>
        <w:spacing w:line="360" w:lineRule="auto"/>
        <w:outlineLvl w:val="2"/>
        <w:rPr>
          <w:color w:val="000000"/>
          <w:sz w:val="24"/>
        </w:rPr>
      </w:pPr>
      <w:r>
        <w:rPr>
          <w:color w:val="000000"/>
          <w:sz w:val="24"/>
        </w:rPr>
        <w:t>6 授权委托书</w:t>
      </w:r>
    </w:p>
    <w:p w14:paraId="45214366">
      <w:pPr>
        <w:spacing w:line="360" w:lineRule="exact"/>
        <w:jc w:val="center"/>
        <w:rPr>
          <w:b/>
          <w:color w:val="000000"/>
          <w:sz w:val="36"/>
          <w:szCs w:val="36"/>
        </w:rPr>
      </w:pPr>
      <w:r>
        <w:rPr>
          <w:b/>
          <w:color w:val="000000"/>
          <w:sz w:val="36"/>
          <w:szCs w:val="36"/>
        </w:rPr>
        <w:t>授权委托书</w:t>
      </w:r>
    </w:p>
    <w:p w14:paraId="71BF1843">
      <w:pPr>
        <w:spacing w:line="360" w:lineRule="auto"/>
        <w:ind w:firstLine="420"/>
        <w:rPr>
          <w:color w:val="000000"/>
          <w:sz w:val="24"/>
          <w:szCs w:val="20"/>
        </w:rPr>
      </w:pPr>
    </w:p>
    <w:p w14:paraId="2AB4A28A">
      <w:pPr>
        <w:spacing w:line="360" w:lineRule="auto"/>
        <w:ind w:firstLine="420"/>
        <w:rPr>
          <w:color w:val="000000"/>
          <w:sz w:val="24"/>
          <w:szCs w:val="20"/>
        </w:rPr>
      </w:pPr>
      <w:r>
        <w:rPr>
          <w:color w:val="000000"/>
          <w:sz w:val="24"/>
          <w:szCs w:val="20"/>
        </w:rPr>
        <w:t>本人</w:t>
      </w:r>
      <w:r>
        <w:rPr>
          <w:color w:val="000000"/>
          <w:sz w:val="24"/>
          <w:lang w:val="zh-CN"/>
        </w:rPr>
        <w:t>_______</w:t>
      </w:r>
      <w:r>
        <w:rPr>
          <w:color w:val="000000"/>
          <w:sz w:val="24"/>
          <w:szCs w:val="20"/>
        </w:rPr>
        <w:t>（姓名）系</w:t>
      </w:r>
      <w:r>
        <w:rPr>
          <w:color w:val="000000"/>
          <w:sz w:val="24"/>
          <w:lang w:val="zh-CN"/>
        </w:rPr>
        <w:t>________________</w:t>
      </w:r>
      <w:r>
        <w:rPr>
          <w:color w:val="000000"/>
          <w:sz w:val="24"/>
          <w:szCs w:val="20"/>
        </w:rPr>
        <w:t>（供应商名称）的法定代表人（单位负责人），现委托</w:t>
      </w:r>
      <w:r>
        <w:rPr>
          <w:color w:val="000000"/>
          <w:sz w:val="24"/>
          <w:lang w:val="zh-CN"/>
        </w:rPr>
        <w:t>_______</w:t>
      </w:r>
      <w:r>
        <w:rPr>
          <w:color w:val="000000"/>
          <w:sz w:val="24"/>
          <w:szCs w:val="20"/>
        </w:rPr>
        <w:t>（姓名）为我方代理人。代理人根据授权，以我方名义签署、澄清确认、递交、撤回、修改</w:t>
      </w:r>
      <w:r>
        <w:rPr>
          <w:color w:val="000000"/>
          <w:sz w:val="24"/>
          <w:lang w:val="zh-CN"/>
        </w:rPr>
        <w:t>________________</w:t>
      </w:r>
      <w:r>
        <w:rPr>
          <w:color w:val="000000"/>
          <w:sz w:val="24"/>
          <w:szCs w:val="20"/>
        </w:rPr>
        <w:t>（项目名称）响应文件和处理有关事宜，其法律后果由我方承担。</w:t>
      </w:r>
    </w:p>
    <w:p w14:paraId="519C11FB">
      <w:pPr>
        <w:spacing w:line="360" w:lineRule="auto"/>
        <w:ind w:firstLine="420"/>
        <w:rPr>
          <w:color w:val="000000"/>
          <w:sz w:val="24"/>
          <w:szCs w:val="20"/>
        </w:rPr>
      </w:pPr>
      <w:r>
        <w:rPr>
          <w:color w:val="000000"/>
          <w:sz w:val="24"/>
          <w:szCs w:val="20"/>
        </w:rPr>
        <w:t>委托期限：自本授权委托书签署之日起至响应有效期届满之日止。</w:t>
      </w:r>
    </w:p>
    <w:p w14:paraId="419111B2">
      <w:pPr>
        <w:spacing w:line="360" w:lineRule="auto"/>
        <w:ind w:firstLine="420"/>
        <w:rPr>
          <w:color w:val="000000"/>
          <w:sz w:val="24"/>
          <w:szCs w:val="20"/>
        </w:rPr>
      </w:pPr>
      <w:r>
        <w:rPr>
          <w:color w:val="000000"/>
          <w:sz w:val="24"/>
          <w:szCs w:val="20"/>
        </w:rPr>
        <w:t>代理人无转委托权。</w:t>
      </w:r>
    </w:p>
    <w:p w14:paraId="0359BD79">
      <w:pPr>
        <w:spacing w:line="360" w:lineRule="auto"/>
        <w:ind w:firstLine="420"/>
        <w:rPr>
          <w:color w:val="000000"/>
          <w:sz w:val="24"/>
          <w:szCs w:val="20"/>
        </w:rPr>
      </w:pPr>
    </w:p>
    <w:p w14:paraId="424ED4E8">
      <w:pPr>
        <w:spacing w:line="360" w:lineRule="auto"/>
        <w:rPr>
          <w:color w:val="000000"/>
          <w:sz w:val="24"/>
          <w:lang w:val="zh-CN"/>
        </w:rPr>
      </w:pPr>
      <w:r>
        <w:rPr>
          <w:color w:val="000000"/>
          <w:sz w:val="24"/>
        </w:rPr>
        <w:t>供应商名称（加盖公章）</w:t>
      </w:r>
      <w:r>
        <w:rPr>
          <w:color w:val="000000"/>
          <w:sz w:val="24"/>
          <w:lang w:val="zh-CN"/>
        </w:rPr>
        <w:t>：________________</w:t>
      </w:r>
    </w:p>
    <w:p w14:paraId="167F7EF2">
      <w:pPr>
        <w:spacing w:line="360" w:lineRule="auto"/>
        <w:rPr>
          <w:color w:val="000000"/>
          <w:sz w:val="24"/>
          <w:szCs w:val="20"/>
        </w:rPr>
      </w:pPr>
      <w:r>
        <w:rPr>
          <w:color w:val="000000"/>
          <w:sz w:val="24"/>
          <w:szCs w:val="20"/>
        </w:rPr>
        <w:t>法定代表人（单位负责人）（签字</w:t>
      </w:r>
      <w:r>
        <w:rPr>
          <w:rFonts w:hint="eastAsia" w:ascii="宋体" w:hAnsi="宋体"/>
          <w:color w:val="000000"/>
          <w:sz w:val="24"/>
          <w:szCs w:val="20"/>
        </w:rPr>
        <w:t>、签章</w:t>
      </w:r>
      <w:r>
        <w:rPr>
          <w:color w:val="000000"/>
          <w:sz w:val="24"/>
          <w:szCs w:val="20"/>
        </w:rPr>
        <w:t>或印鉴）：</w:t>
      </w:r>
      <w:r>
        <w:rPr>
          <w:color w:val="000000"/>
          <w:sz w:val="24"/>
          <w:lang w:val="zh-CN"/>
        </w:rPr>
        <w:t>________________</w:t>
      </w:r>
    </w:p>
    <w:p w14:paraId="179A77EE">
      <w:pPr>
        <w:spacing w:line="360" w:lineRule="auto"/>
        <w:rPr>
          <w:color w:val="000000"/>
          <w:sz w:val="24"/>
          <w:lang w:val="zh-CN"/>
        </w:rPr>
      </w:pPr>
      <w:r>
        <w:rPr>
          <w:color w:val="000000"/>
          <w:sz w:val="24"/>
        </w:rPr>
        <w:t>委托代理人（签字</w:t>
      </w:r>
      <w:r>
        <w:rPr>
          <w:rFonts w:hint="eastAsia" w:ascii="宋体" w:hAnsi="宋体"/>
          <w:color w:val="000000"/>
          <w:sz w:val="24"/>
          <w:szCs w:val="20"/>
        </w:rPr>
        <w:t>/签章</w:t>
      </w:r>
      <w:r>
        <w:rPr>
          <w:color w:val="000000"/>
          <w:sz w:val="24"/>
        </w:rPr>
        <w:t>）：</w:t>
      </w:r>
      <w:r>
        <w:rPr>
          <w:color w:val="000000"/>
          <w:sz w:val="24"/>
          <w:lang w:val="zh-CN"/>
        </w:rPr>
        <w:t>________________</w:t>
      </w:r>
      <w:r>
        <w:rPr>
          <w:color w:val="000000"/>
          <w:sz w:val="24"/>
        </w:rPr>
        <w:t xml:space="preserve">    </w:t>
      </w:r>
      <w:r>
        <w:rPr>
          <w:color w:val="000000"/>
          <w:sz w:val="24"/>
          <w:lang w:val="zh-CN"/>
        </w:rPr>
        <w:t xml:space="preserve">                      </w:t>
      </w:r>
    </w:p>
    <w:p w14:paraId="15584E90">
      <w:pPr>
        <w:spacing w:line="360" w:lineRule="auto"/>
        <w:rPr>
          <w:color w:val="000000"/>
          <w:sz w:val="24"/>
          <w:lang w:val="zh-CN"/>
        </w:rPr>
      </w:pPr>
      <w:r>
        <w:rPr>
          <w:color w:val="000000"/>
          <w:sz w:val="24"/>
        </w:rPr>
        <w:t>日期：_____年______月______日</w:t>
      </w:r>
    </w:p>
    <w:p w14:paraId="207736BF">
      <w:pPr>
        <w:tabs>
          <w:tab w:val="left" w:pos="5580"/>
        </w:tabs>
        <w:spacing w:line="360" w:lineRule="auto"/>
        <w:ind w:firstLine="480"/>
        <w:rPr>
          <w:color w:val="000000"/>
          <w:sz w:val="24"/>
          <w:szCs w:val="20"/>
        </w:rPr>
      </w:pPr>
    </w:p>
    <w:p w14:paraId="7FB62F48">
      <w:pPr>
        <w:tabs>
          <w:tab w:val="left" w:pos="5580"/>
        </w:tabs>
        <w:spacing w:line="360" w:lineRule="auto"/>
        <w:jc w:val="left"/>
        <w:rPr>
          <w:color w:val="000000"/>
          <w:sz w:val="24"/>
          <w:szCs w:val="20"/>
        </w:rPr>
      </w:pPr>
      <w:r>
        <w:rPr>
          <w:color w:val="000000"/>
          <w:sz w:val="24"/>
          <w:szCs w:val="20"/>
        </w:rPr>
        <w:t>法定代表人（单位负责人）有效期内的身份证</w:t>
      </w:r>
      <w:r>
        <w:rPr>
          <w:b/>
          <w:color w:val="000000"/>
          <w:sz w:val="24"/>
          <w:szCs w:val="20"/>
        </w:rPr>
        <w:t>正反面</w:t>
      </w:r>
      <w:r>
        <w:rPr>
          <w:color w:val="000000"/>
          <w:sz w:val="24"/>
          <w:szCs w:val="20"/>
        </w:rPr>
        <w:t>电子件：</w:t>
      </w:r>
    </w:p>
    <w:tbl>
      <w:tblPr>
        <w:tblStyle w:val="30"/>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4673"/>
        <w:gridCol w:w="4536"/>
      </w:tblGrid>
      <w:tr w14:paraId="4F86DB2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99" w:hRule="atLeast"/>
        </w:trPr>
        <w:tc>
          <w:tcPr>
            <w:tcW w:w="4673" w:type="dxa"/>
            <w:noWrap w:val="0"/>
            <w:vAlign w:val="top"/>
          </w:tcPr>
          <w:p w14:paraId="5ECD8727">
            <w:pPr>
              <w:tabs>
                <w:tab w:val="left" w:pos="5580"/>
              </w:tabs>
              <w:spacing w:line="360" w:lineRule="auto"/>
              <w:jc w:val="left"/>
              <w:rPr>
                <w:color w:val="000000"/>
                <w:sz w:val="24"/>
                <w:szCs w:val="20"/>
              </w:rPr>
            </w:pPr>
          </w:p>
          <w:p w14:paraId="437C56FC">
            <w:pPr>
              <w:tabs>
                <w:tab w:val="left" w:pos="5580"/>
              </w:tabs>
              <w:spacing w:line="360" w:lineRule="auto"/>
              <w:jc w:val="left"/>
              <w:rPr>
                <w:color w:val="000000"/>
                <w:sz w:val="24"/>
                <w:szCs w:val="20"/>
              </w:rPr>
            </w:pPr>
          </w:p>
          <w:p w14:paraId="2FC36BF9">
            <w:pPr>
              <w:tabs>
                <w:tab w:val="left" w:pos="5580"/>
              </w:tabs>
              <w:spacing w:line="360" w:lineRule="auto"/>
              <w:jc w:val="left"/>
              <w:rPr>
                <w:color w:val="000000"/>
                <w:sz w:val="24"/>
                <w:szCs w:val="20"/>
              </w:rPr>
            </w:pPr>
          </w:p>
        </w:tc>
        <w:tc>
          <w:tcPr>
            <w:tcW w:w="4536" w:type="dxa"/>
            <w:noWrap w:val="0"/>
            <w:vAlign w:val="top"/>
          </w:tcPr>
          <w:p w14:paraId="56F5259F">
            <w:pPr>
              <w:tabs>
                <w:tab w:val="left" w:pos="5580"/>
              </w:tabs>
              <w:spacing w:line="360" w:lineRule="auto"/>
              <w:jc w:val="left"/>
              <w:rPr>
                <w:color w:val="000000"/>
                <w:sz w:val="24"/>
                <w:szCs w:val="20"/>
              </w:rPr>
            </w:pPr>
          </w:p>
          <w:p w14:paraId="5D5F5B4C">
            <w:pPr>
              <w:tabs>
                <w:tab w:val="left" w:pos="5580"/>
              </w:tabs>
              <w:spacing w:line="360" w:lineRule="auto"/>
              <w:jc w:val="left"/>
              <w:rPr>
                <w:color w:val="000000"/>
                <w:sz w:val="24"/>
                <w:szCs w:val="20"/>
              </w:rPr>
            </w:pPr>
          </w:p>
          <w:p w14:paraId="5F39F9E7">
            <w:pPr>
              <w:tabs>
                <w:tab w:val="left" w:pos="5580"/>
              </w:tabs>
              <w:spacing w:line="360" w:lineRule="auto"/>
              <w:jc w:val="left"/>
              <w:rPr>
                <w:color w:val="000000"/>
                <w:sz w:val="24"/>
                <w:szCs w:val="20"/>
              </w:rPr>
            </w:pPr>
          </w:p>
        </w:tc>
      </w:tr>
    </w:tbl>
    <w:p w14:paraId="1634CF37">
      <w:pPr>
        <w:tabs>
          <w:tab w:val="left" w:pos="5580"/>
        </w:tabs>
        <w:spacing w:line="360" w:lineRule="auto"/>
        <w:jc w:val="left"/>
        <w:rPr>
          <w:color w:val="000000"/>
          <w:sz w:val="24"/>
          <w:szCs w:val="20"/>
        </w:rPr>
      </w:pPr>
      <w:r>
        <w:rPr>
          <w:color w:val="000000"/>
          <w:sz w:val="24"/>
          <w:szCs w:val="20"/>
        </w:rPr>
        <w:t>委托代理人有效期内的身份证</w:t>
      </w:r>
      <w:r>
        <w:rPr>
          <w:b/>
          <w:color w:val="000000"/>
          <w:sz w:val="24"/>
          <w:szCs w:val="20"/>
        </w:rPr>
        <w:t>正反面</w:t>
      </w:r>
      <w:r>
        <w:rPr>
          <w:color w:val="000000"/>
          <w:sz w:val="24"/>
          <w:szCs w:val="20"/>
        </w:rPr>
        <w:t>电子件：</w:t>
      </w:r>
    </w:p>
    <w:tbl>
      <w:tblPr>
        <w:tblStyle w:val="30"/>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4673"/>
        <w:gridCol w:w="4536"/>
      </w:tblGrid>
      <w:tr w14:paraId="7F0A060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99" w:hRule="atLeast"/>
        </w:trPr>
        <w:tc>
          <w:tcPr>
            <w:tcW w:w="4673" w:type="dxa"/>
            <w:noWrap w:val="0"/>
            <w:vAlign w:val="top"/>
          </w:tcPr>
          <w:p w14:paraId="143D3432">
            <w:pPr>
              <w:tabs>
                <w:tab w:val="left" w:pos="5580"/>
              </w:tabs>
              <w:spacing w:line="360" w:lineRule="auto"/>
              <w:jc w:val="left"/>
              <w:rPr>
                <w:color w:val="000000"/>
                <w:sz w:val="24"/>
                <w:szCs w:val="20"/>
              </w:rPr>
            </w:pPr>
          </w:p>
          <w:p w14:paraId="4F7F4F5C">
            <w:pPr>
              <w:tabs>
                <w:tab w:val="left" w:pos="5580"/>
              </w:tabs>
              <w:spacing w:line="360" w:lineRule="auto"/>
              <w:jc w:val="left"/>
              <w:rPr>
                <w:color w:val="000000"/>
                <w:sz w:val="24"/>
                <w:szCs w:val="20"/>
              </w:rPr>
            </w:pPr>
          </w:p>
          <w:p w14:paraId="66690353">
            <w:pPr>
              <w:tabs>
                <w:tab w:val="left" w:pos="5580"/>
              </w:tabs>
              <w:spacing w:line="360" w:lineRule="auto"/>
              <w:jc w:val="left"/>
              <w:rPr>
                <w:color w:val="000000"/>
                <w:sz w:val="24"/>
                <w:szCs w:val="20"/>
              </w:rPr>
            </w:pPr>
          </w:p>
        </w:tc>
        <w:tc>
          <w:tcPr>
            <w:tcW w:w="4536" w:type="dxa"/>
            <w:noWrap w:val="0"/>
            <w:vAlign w:val="top"/>
          </w:tcPr>
          <w:p w14:paraId="4EE37F0B">
            <w:pPr>
              <w:tabs>
                <w:tab w:val="left" w:pos="5580"/>
              </w:tabs>
              <w:spacing w:line="360" w:lineRule="auto"/>
              <w:jc w:val="left"/>
              <w:rPr>
                <w:color w:val="000000"/>
                <w:sz w:val="24"/>
                <w:szCs w:val="20"/>
              </w:rPr>
            </w:pPr>
          </w:p>
          <w:p w14:paraId="3A79E8D7">
            <w:pPr>
              <w:tabs>
                <w:tab w:val="left" w:pos="5580"/>
              </w:tabs>
              <w:spacing w:line="360" w:lineRule="auto"/>
              <w:jc w:val="left"/>
              <w:rPr>
                <w:color w:val="000000"/>
                <w:sz w:val="24"/>
                <w:szCs w:val="20"/>
              </w:rPr>
            </w:pPr>
          </w:p>
          <w:p w14:paraId="6D360F0F">
            <w:pPr>
              <w:tabs>
                <w:tab w:val="left" w:pos="5580"/>
              </w:tabs>
              <w:spacing w:line="360" w:lineRule="auto"/>
              <w:jc w:val="left"/>
              <w:rPr>
                <w:color w:val="000000"/>
                <w:sz w:val="24"/>
                <w:szCs w:val="20"/>
              </w:rPr>
            </w:pPr>
          </w:p>
        </w:tc>
      </w:tr>
    </w:tbl>
    <w:p w14:paraId="0AE2006D">
      <w:pPr>
        <w:tabs>
          <w:tab w:val="left" w:pos="5580"/>
        </w:tabs>
        <w:spacing w:line="360" w:lineRule="auto"/>
        <w:jc w:val="left"/>
        <w:rPr>
          <w:color w:val="000000"/>
          <w:sz w:val="24"/>
          <w:szCs w:val="20"/>
        </w:rPr>
      </w:pPr>
      <w:r>
        <w:rPr>
          <w:color w:val="000000"/>
          <w:sz w:val="24"/>
          <w:szCs w:val="20"/>
        </w:rPr>
        <w:t>说明：</w:t>
      </w:r>
    </w:p>
    <w:p w14:paraId="7783B5C4">
      <w:pPr>
        <w:tabs>
          <w:tab w:val="left" w:pos="5580"/>
        </w:tabs>
        <w:spacing w:line="360" w:lineRule="auto"/>
        <w:jc w:val="left"/>
        <w:rPr>
          <w:color w:val="000000"/>
          <w:sz w:val="24"/>
          <w:szCs w:val="20"/>
        </w:rPr>
      </w:pPr>
      <w:r>
        <w:rPr>
          <w:color w:val="000000"/>
          <w:sz w:val="24"/>
          <w:szCs w:val="20"/>
        </w:rPr>
        <w:t>1.若供应商为事业单位或其他组织或分支机构（仅当单一来源采购文件注明允许分支机构响应的），则法定代表人（单位负责人）处的签署人可为单位负责人。</w:t>
      </w:r>
    </w:p>
    <w:p w14:paraId="4690E098">
      <w:pPr>
        <w:tabs>
          <w:tab w:val="left" w:pos="5580"/>
        </w:tabs>
        <w:spacing w:line="360" w:lineRule="auto"/>
        <w:jc w:val="left"/>
        <w:rPr>
          <w:color w:val="000000"/>
          <w:sz w:val="24"/>
          <w:szCs w:val="20"/>
        </w:rPr>
      </w:pPr>
      <w:r>
        <w:rPr>
          <w:color w:val="000000"/>
          <w:sz w:val="24"/>
          <w:szCs w:val="20"/>
        </w:rPr>
        <w:t>2.若响应文件中签字之处均为法定代表人（单位负责人）本人签署，则可不提供本《授权委托书》，但须提供《法定代表人（单位负责人）身份证明》（实质性格式）。</w:t>
      </w:r>
    </w:p>
    <w:p w14:paraId="0263B9F0">
      <w:pPr>
        <w:tabs>
          <w:tab w:val="left" w:pos="5580"/>
        </w:tabs>
        <w:spacing w:line="360" w:lineRule="auto"/>
        <w:jc w:val="left"/>
        <w:rPr>
          <w:color w:val="000000"/>
          <w:sz w:val="30"/>
          <w:szCs w:val="30"/>
        </w:rPr>
      </w:pPr>
      <w:r>
        <w:rPr>
          <w:color w:val="000000"/>
          <w:sz w:val="24"/>
          <w:szCs w:val="20"/>
        </w:rPr>
        <w:t>3.供应商为自然人的情形，可不提供本《授权委托书》。</w:t>
      </w:r>
      <w:r>
        <w:rPr>
          <w:color w:val="000000"/>
          <w:sz w:val="30"/>
          <w:szCs w:val="30"/>
        </w:rPr>
        <w:br w:type="page" w:clear="all"/>
      </w:r>
    </w:p>
    <w:p w14:paraId="0BEE2CFA">
      <w:pPr>
        <w:spacing w:line="360" w:lineRule="exact"/>
        <w:jc w:val="center"/>
        <w:rPr>
          <w:b/>
          <w:color w:val="000000"/>
          <w:sz w:val="36"/>
          <w:szCs w:val="36"/>
        </w:rPr>
      </w:pPr>
      <w:r>
        <w:rPr>
          <w:b/>
          <w:color w:val="000000"/>
          <w:sz w:val="36"/>
          <w:szCs w:val="36"/>
        </w:rPr>
        <w:t>附：法定代表人（单位负责人）身份证明</w:t>
      </w:r>
    </w:p>
    <w:p w14:paraId="2DC7F868">
      <w:pPr>
        <w:spacing w:line="200" w:lineRule="exact"/>
        <w:rPr>
          <w:sz w:val="20"/>
          <w:szCs w:val="20"/>
        </w:rPr>
      </w:pPr>
    </w:p>
    <w:p w14:paraId="6F580A76">
      <w:pPr>
        <w:tabs>
          <w:tab w:val="left" w:pos="5580"/>
        </w:tabs>
        <w:spacing w:line="360" w:lineRule="auto"/>
        <w:rPr>
          <w:color w:val="000000"/>
          <w:sz w:val="24"/>
        </w:rPr>
      </w:pPr>
      <w:r>
        <w:rPr>
          <w:color w:val="000000"/>
          <w:sz w:val="24"/>
        </w:rPr>
        <w:t>致：</w:t>
      </w:r>
      <w:r>
        <w:rPr>
          <w:color w:val="000000"/>
          <w:sz w:val="24"/>
          <w:u w:val="single"/>
        </w:rPr>
        <w:t>（采购人或采购代理机构）</w:t>
      </w:r>
    </w:p>
    <w:p w14:paraId="50B29283">
      <w:pPr>
        <w:pStyle w:val="216"/>
        <w:tabs>
          <w:tab w:val="left" w:pos="2412"/>
          <w:tab w:val="left" w:pos="3883"/>
          <w:tab w:val="left" w:pos="5352"/>
          <w:tab w:val="left" w:pos="6821"/>
        </w:tabs>
        <w:spacing w:line="335" w:lineRule="exact"/>
        <w:ind w:firstLine="480"/>
        <w:rPr>
          <w:rFonts w:ascii="Times New Roman" w:hAnsi="Times New Roman"/>
        </w:rPr>
      </w:pPr>
      <w:r>
        <w:rPr>
          <w:rFonts w:ascii="Times New Roman" w:hAnsi="Times New Roman"/>
        </w:rPr>
        <w:t>兹证明，</w:t>
      </w:r>
    </w:p>
    <w:p w14:paraId="08D425F0">
      <w:pPr>
        <w:pStyle w:val="216"/>
        <w:tabs>
          <w:tab w:val="left" w:pos="1690"/>
          <w:tab w:val="left" w:pos="3400"/>
          <w:tab w:val="left" w:pos="5110"/>
          <w:tab w:val="left" w:pos="6821"/>
        </w:tabs>
        <w:spacing w:line="335" w:lineRule="exact"/>
        <w:rPr>
          <w:rFonts w:ascii="Times New Roman" w:hAnsi="Times New Roman"/>
        </w:rPr>
      </w:pPr>
      <w:r>
        <w:rPr>
          <w:rFonts w:ascii="Times New Roman" w:hAnsi="Times New Roman"/>
        </w:rPr>
        <w:t>姓名：____性别：____年龄：____职务：____</w:t>
      </w:r>
    </w:p>
    <w:p w14:paraId="60CDF72B">
      <w:pPr>
        <w:pStyle w:val="216"/>
        <w:tabs>
          <w:tab w:val="left" w:pos="2412"/>
          <w:tab w:val="left" w:pos="3883"/>
          <w:tab w:val="left" w:pos="5352"/>
          <w:tab w:val="left" w:pos="6821"/>
        </w:tabs>
        <w:spacing w:line="335" w:lineRule="exact"/>
        <w:rPr>
          <w:rFonts w:ascii="Times New Roman" w:hAnsi="Times New Roman"/>
        </w:rPr>
      </w:pPr>
    </w:p>
    <w:p w14:paraId="78A53BD8">
      <w:pPr>
        <w:pStyle w:val="216"/>
        <w:tabs>
          <w:tab w:val="left" w:pos="2250"/>
          <w:tab w:val="left" w:pos="2412"/>
          <w:tab w:val="left" w:pos="3883"/>
          <w:tab w:val="left" w:pos="5352"/>
          <w:tab w:val="left" w:pos="6821"/>
        </w:tabs>
        <w:spacing w:line="335" w:lineRule="exact"/>
        <w:rPr>
          <w:rFonts w:ascii="Times New Roman" w:hAnsi="Times New Roman"/>
        </w:rPr>
      </w:pPr>
      <w:r>
        <w:rPr>
          <w:rFonts w:ascii="Times New Roman" w:hAnsi="Times New Roman"/>
        </w:rPr>
        <w:t>系</w:t>
      </w:r>
      <w:r>
        <w:rPr>
          <w:rFonts w:ascii="Times New Roman" w:hAnsi="Times New Roman"/>
          <w:u w:val="single"/>
        </w:rPr>
        <w:tab/>
      </w:r>
      <w:r>
        <w:rPr>
          <w:rFonts w:ascii="Times New Roman" w:hAnsi="Times New Roman"/>
        </w:rPr>
        <w:t>（供应商名称）的法定代表人（单位负责人）。</w:t>
      </w:r>
    </w:p>
    <w:p w14:paraId="04FA8EB7">
      <w:pPr>
        <w:pStyle w:val="216"/>
        <w:tabs>
          <w:tab w:val="left" w:pos="2412"/>
          <w:tab w:val="left" w:pos="3883"/>
          <w:tab w:val="left" w:pos="5352"/>
          <w:tab w:val="left" w:pos="6821"/>
        </w:tabs>
        <w:spacing w:line="335" w:lineRule="exact"/>
        <w:rPr>
          <w:rFonts w:ascii="Times New Roman" w:hAnsi="Times New Roman"/>
        </w:rPr>
      </w:pPr>
    </w:p>
    <w:p w14:paraId="09C0606C">
      <w:pPr>
        <w:pStyle w:val="216"/>
        <w:tabs>
          <w:tab w:val="left" w:pos="2412"/>
          <w:tab w:val="left" w:pos="3883"/>
          <w:tab w:val="left" w:pos="5352"/>
          <w:tab w:val="left" w:pos="6821"/>
        </w:tabs>
        <w:spacing w:line="335" w:lineRule="exact"/>
        <w:rPr>
          <w:rFonts w:ascii="Times New Roman" w:hAnsi="Times New Roman"/>
        </w:rPr>
      </w:pPr>
    </w:p>
    <w:p w14:paraId="25846321">
      <w:pPr>
        <w:pStyle w:val="216"/>
        <w:tabs>
          <w:tab w:val="left" w:pos="2412"/>
          <w:tab w:val="left" w:pos="3883"/>
          <w:tab w:val="left" w:pos="5352"/>
          <w:tab w:val="left" w:pos="6821"/>
        </w:tabs>
        <w:spacing w:line="335" w:lineRule="exact"/>
        <w:rPr>
          <w:rFonts w:ascii="Times New Roman" w:hAnsi="Times New Roman"/>
        </w:rPr>
      </w:pPr>
    </w:p>
    <w:p w14:paraId="0D1A4925">
      <w:pPr>
        <w:pStyle w:val="216"/>
        <w:spacing w:line="583" w:lineRule="auto"/>
        <w:ind w:right="-46"/>
        <w:rPr>
          <w:rFonts w:ascii="Times New Roman" w:hAnsi="Times New Roman"/>
          <w:spacing w:val="-3"/>
        </w:rPr>
      </w:pPr>
      <w:r>
        <w:rPr>
          <w:rFonts w:ascii="Times New Roman" w:hAnsi="Times New Roman"/>
        </w:rPr>
        <w:t>附：</w:t>
      </w:r>
      <w:r>
        <w:rPr>
          <w:rFonts w:ascii="Times New Roman" w:hAnsi="Times New Roman"/>
          <w:spacing w:val="-3"/>
        </w:rPr>
        <w:t>法</w:t>
      </w:r>
      <w:r>
        <w:rPr>
          <w:rFonts w:ascii="Times New Roman" w:hAnsi="Times New Roman"/>
        </w:rPr>
        <w:t>定</w:t>
      </w:r>
      <w:r>
        <w:rPr>
          <w:rFonts w:ascii="Times New Roman" w:hAnsi="Times New Roman"/>
          <w:spacing w:val="-3"/>
        </w:rPr>
        <w:t>代</w:t>
      </w:r>
      <w:r>
        <w:rPr>
          <w:rFonts w:ascii="Times New Roman" w:hAnsi="Times New Roman"/>
        </w:rPr>
        <w:t>表</w:t>
      </w:r>
      <w:r>
        <w:rPr>
          <w:rFonts w:ascii="Times New Roman" w:hAnsi="Times New Roman"/>
          <w:spacing w:val="-3"/>
        </w:rPr>
        <w:t>人</w:t>
      </w:r>
      <w:r>
        <w:rPr>
          <w:rFonts w:ascii="Times New Roman" w:hAnsi="Times New Roman"/>
        </w:rPr>
        <w:t>（</w:t>
      </w:r>
      <w:r>
        <w:rPr>
          <w:rFonts w:ascii="Times New Roman" w:hAnsi="Times New Roman"/>
          <w:spacing w:val="-3"/>
        </w:rPr>
        <w:t>单</w:t>
      </w:r>
      <w:r>
        <w:rPr>
          <w:rFonts w:ascii="Times New Roman" w:hAnsi="Times New Roman"/>
        </w:rPr>
        <w:t>位</w:t>
      </w:r>
      <w:r>
        <w:rPr>
          <w:rFonts w:ascii="Times New Roman" w:hAnsi="Times New Roman"/>
          <w:spacing w:val="-3"/>
        </w:rPr>
        <w:t>负</w:t>
      </w:r>
      <w:r>
        <w:rPr>
          <w:rFonts w:ascii="Times New Roman" w:hAnsi="Times New Roman"/>
        </w:rPr>
        <w:t>责人</w:t>
      </w:r>
      <w:r>
        <w:rPr>
          <w:rFonts w:ascii="Times New Roman" w:hAnsi="Times New Roman"/>
          <w:spacing w:val="-3"/>
        </w:rPr>
        <w:t>）有效期内的身份证正反面电子件。</w:t>
      </w:r>
    </w:p>
    <w:tbl>
      <w:tblPr>
        <w:tblStyle w:val="30"/>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4673"/>
        <w:gridCol w:w="4536"/>
      </w:tblGrid>
      <w:tr w14:paraId="34DBB5C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99" w:hRule="atLeast"/>
        </w:trPr>
        <w:tc>
          <w:tcPr>
            <w:tcW w:w="4673" w:type="dxa"/>
            <w:noWrap w:val="0"/>
            <w:vAlign w:val="top"/>
          </w:tcPr>
          <w:p w14:paraId="1AD0362F">
            <w:pPr>
              <w:tabs>
                <w:tab w:val="left" w:pos="5580"/>
              </w:tabs>
              <w:spacing w:line="360" w:lineRule="auto"/>
              <w:jc w:val="left"/>
              <w:rPr>
                <w:color w:val="000000"/>
                <w:sz w:val="24"/>
                <w:szCs w:val="20"/>
              </w:rPr>
            </w:pPr>
          </w:p>
          <w:p w14:paraId="4D27F988">
            <w:pPr>
              <w:tabs>
                <w:tab w:val="left" w:pos="5580"/>
              </w:tabs>
              <w:spacing w:line="360" w:lineRule="auto"/>
              <w:jc w:val="left"/>
              <w:rPr>
                <w:color w:val="000000"/>
                <w:sz w:val="24"/>
                <w:szCs w:val="20"/>
              </w:rPr>
            </w:pPr>
          </w:p>
          <w:p w14:paraId="609BD18C">
            <w:pPr>
              <w:tabs>
                <w:tab w:val="left" w:pos="5580"/>
              </w:tabs>
              <w:spacing w:line="360" w:lineRule="auto"/>
              <w:jc w:val="left"/>
              <w:rPr>
                <w:color w:val="000000"/>
                <w:sz w:val="24"/>
                <w:szCs w:val="20"/>
              </w:rPr>
            </w:pPr>
          </w:p>
        </w:tc>
        <w:tc>
          <w:tcPr>
            <w:tcW w:w="4536" w:type="dxa"/>
            <w:noWrap w:val="0"/>
            <w:vAlign w:val="top"/>
          </w:tcPr>
          <w:p w14:paraId="11A836F4">
            <w:pPr>
              <w:tabs>
                <w:tab w:val="left" w:pos="5580"/>
              </w:tabs>
              <w:spacing w:line="360" w:lineRule="auto"/>
              <w:jc w:val="left"/>
              <w:rPr>
                <w:color w:val="000000"/>
                <w:sz w:val="24"/>
                <w:szCs w:val="20"/>
              </w:rPr>
            </w:pPr>
          </w:p>
          <w:p w14:paraId="7D512109">
            <w:pPr>
              <w:tabs>
                <w:tab w:val="left" w:pos="5580"/>
              </w:tabs>
              <w:spacing w:line="360" w:lineRule="auto"/>
              <w:jc w:val="left"/>
              <w:rPr>
                <w:color w:val="000000"/>
                <w:sz w:val="24"/>
                <w:szCs w:val="20"/>
              </w:rPr>
            </w:pPr>
          </w:p>
          <w:p w14:paraId="00D821CF">
            <w:pPr>
              <w:tabs>
                <w:tab w:val="left" w:pos="5580"/>
              </w:tabs>
              <w:spacing w:line="360" w:lineRule="auto"/>
              <w:jc w:val="left"/>
              <w:rPr>
                <w:color w:val="000000"/>
                <w:sz w:val="24"/>
                <w:szCs w:val="20"/>
              </w:rPr>
            </w:pPr>
          </w:p>
        </w:tc>
      </w:tr>
    </w:tbl>
    <w:p w14:paraId="7C81DC05">
      <w:pPr>
        <w:pStyle w:val="216"/>
        <w:spacing w:line="583" w:lineRule="auto"/>
        <w:ind w:right="4305"/>
        <w:rPr>
          <w:rFonts w:ascii="Times New Roman" w:hAnsi="Times New Roman"/>
          <w:spacing w:val="-3"/>
        </w:rPr>
      </w:pPr>
    </w:p>
    <w:p w14:paraId="357E1E45">
      <w:pPr>
        <w:pStyle w:val="216"/>
        <w:spacing w:line="583" w:lineRule="auto"/>
        <w:ind w:right="4305"/>
        <w:rPr>
          <w:rFonts w:ascii="Times New Roman" w:hAnsi="Times New Roman"/>
          <w:spacing w:val="-3"/>
        </w:rPr>
      </w:pPr>
    </w:p>
    <w:p w14:paraId="3086A55E">
      <w:pPr>
        <w:spacing w:line="360" w:lineRule="auto"/>
        <w:rPr>
          <w:color w:val="000000"/>
          <w:sz w:val="24"/>
          <w:lang w:val="zh-CN"/>
        </w:rPr>
      </w:pPr>
      <w:r>
        <w:rPr>
          <w:color w:val="000000"/>
          <w:sz w:val="24"/>
        </w:rPr>
        <w:t>供应商名称（加盖公章）</w:t>
      </w:r>
      <w:r>
        <w:rPr>
          <w:color w:val="000000"/>
          <w:sz w:val="24"/>
          <w:lang w:val="zh-CN"/>
        </w:rPr>
        <w:t>：________________</w:t>
      </w:r>
    </w:p>
    <w:p w14:paraId="4BBF412F">
      <w:pPr>
        <w:pStyle w:val="216"/>
        <w:spacing w:line="583" w:lineRule="auto"/>
        <w:ind w:right="95"/>
        <w:rPr>
          <w:rFonts w:ascii="Times New Roman" w:hAnsi="Times New Roman"/>
          <w:spacing w:val="-3"/>
        </w:rPr>
      </w:pPr>
      <w:r>
        <w:rPr>
          <w:rFonts w:ascii="Times New Roman" w:hAnsi="Times New Roman"/>
          <w:spacing w:val="-3"/>
        </w:rPr>
        <w:t>法定代表人（</w:t>
      </w:r>
      <w:r>
        <w:rPr>
          <w:rFonts w:ascii="Times New Roman" w:hAnsi="Times New Roman"/>
        </w:rPr>
        <w:t>单位负责人</w:t>
      </w:r>
      <w:r>
        <w:rPr>
          <w:rFonts w:ascii="Times New Roman" w:hAnsi="Times New Roman"/>
          <w:spacing w:val="-3"/>
        </w:rPr>
        <w:t>）（签字</w:t>
      </w:r>
      <w:r>
        <w:rPr>
          <w:rFonts w:hint="eastAsia"/>
          <w:color w:val="000000"/>
          <w:szCs w:val="20"/>
        </w:rPr>
        <w:t>、签章</w:t>
      </w:r>
      <w:r>
        <w:rPr>
          <w:rFonts w:ascii="Times New Roman" w:hAnsi="Times New Roman"/>
          <w:spacing w:val="-3"/>
        </w:rPr>
        <w:t>或印鉴）：_____________</w:t>
      </w:r>
    </w:p>
    <w:p w14:paraId="7378576C">
      <w:pPr>
        <w:spacing w:line="360" w:lineRule="auto"/>
        <w:rPr>
          <w:color w:val="000000"/>
          <w:sz w:val="24"/>
          <w:lang w:val="zh-CN"/>
        </w:rPr>
      </w:pPr>
      <w:r>
        <w:rPr>
          <w:color w:val="000000"/>
          <w:sz w:val="24"/>
        </w:rPr>
        <w:t>日期：_____年______月______日</w:t>
      </w:r>
    </w:p>
    <w:p w14:paraId="13CC0970">
      <w:pPr>
        <w:widowControl/>
        <w:jc w:val="left"/>
        <w:rPr>
          <w:i/>
          <w:color w:val="000000"/>
          <w:sz w:val="24"/>
          <w:szCs w:val="20"/>
          <w:u w:val="single"/>
        </w:rPr>
      </w:pPr>
    </w:p>
    <w:p w14:paraId="33AB8203">
      <w:pPr>
        <w:widowControl/>
        <w:jc w:val="left"/>
        <w:rPr>
          <w:i/>
          <w:color w:val="000000"/>
          <w:sz w:val="24"/>
          <w:szCs w:val="20"/>
          <w:u w:val="single"/>
        </w:rPr>
      </w:pPr>
    </w:p>
    <w:p w14:paraId="47FE5831">
      <w:pPr>
        <w:widowControl/>
        <w:jc w:val="left"/>
        <w:rPr>
          <w:color w:val="000000"/>
          <w:sz w:val="24"/>
          <w:szCs w:val="20"/>
        </w:rPr>
      </w:pPr>
    </w:p>
    <w:p w14:paraId="638A9895">
      <w:pPr>
        <w:widowControl/>
        <w:jc w:val="left"/>
        <w:rPr>
          <w:color w:val="000000"/>
          <w:sz w:val="24"/>
          <w:szCs w:val="20"/>
        </w:rPr>
      </w:pPr>
    </w:p>
    <w:p w14:paraId="7A286C71">
      <w:pPr>
        <w:widowControl/>
        <w:jc w:val="left"/>
        <w:rPr>
          <w:color w:val="000000"/>
          <w:sz w:val="24"/>
          <w:szCs w:val="20"/>
        </w:rPr>
      </w:pPr>
    </w:p>
    <w:p w14:paraId="33D19760">
      <w:pPr>
        <w:widowControl/>
        <w:jc w:val="left"/>
        <w:rPr>
          <w:color w:val="000000"/>
          <w:sz w:val="24"/>
          <w:szCs w:val="20"/>
        </w:rPr>
      </w:pPr>
    </w:p>
    <w:p w14:paraId="314EFA7F">
      <w:pPr>
        <w:widowControl/>
        <w:jc w:val="left"/>
        <w:rPr>
          <w:color w:val="000000"/>
          <w:sz w:val="24"/>
          <w:szCs w:val="20"/>
        </w:rPr>
      </w:pPr>
    </w:p>
    <w:p w14:paraId="365A5578">
      <w:pPr>
        <w:widowControl/>
        <w:jc w:val="left"/>
        <w:rPr>
          <w:color w:val="000000"/>
          <w:sz w:val="24"/>
          <w:szCs w:val="20"/>
        </w:rPr>
      </w:pPr>
    </w:p>
    <w:p w14:paraId="0A9A270A">
      <w:pPr>
        <w:widowControl/>
        <w:jc w:val="left"/>
        <w:rPr>
          <w:color w:val="000000"/>
          <w:sz w:val="24"/>
          <w:szCs w:val="20"/>
        </w:rPr>
      </w:pPr>
    </w:p>
    <w:p w14:paraId="593FA564">
      <w:pPr>
        <w:widowControl/>
        <w:jc w:val="left"/>
        <w:rPr>
          <w:color w:val="000000"/>
          <w:sz w:val="24"/>
          <w:szCs w:val="20"/>
        </w:rPr>
      </w:pPr>
    </w:p>
    <w:p w14:paraId="375ED59D">
      <w:pPr>
        <w:widowControl/>
        <w:jc w:val="left"/>
        <w:rPr>
          <w:color w:val="000000"/>
          <w:sz w:val="24"/>
          <w:szCs w:val="20"/>
        </w:rPr>
      </w:pPr>
    </w:p>
    <w:p w14:paraId="520E63AC">
      <w:pPr>
        <w:widowControl/>
        <w:jc w:val="left"/>
        <w:rPr>
          <w:color w:val="000000"/>
          <w:sz w:val="24"/>
          <w:szCs w:val="20"/>
        </w:rPr>
      </w:pPr>
    </w:p>
    <w:p w14:paraId="00F55D4C">
      <w:pPr>
        <w:widowControl/>
        <w:jc w:val="left"/>
        <w:rPr>
          <w:color w:val="000000"/>
          <w:sz w:val="24"/>
          <w:szCs w:val="20"/>
        </w:rPr>
      </w:pPr>
    </w:p>
    <w:p w14:paraId="1761FC17">
      <w:pPr>
        <w:widowControl/>
        <w:jc w:val="left"/>
        <w:rPr>
          <w:color w:val="000000"/>
          <w:sz w:val="24"/>
          <w:szCs w:val="20"/>
        </w:rPr>
      </w:pPr>
    </w:p>
    <w:p w14:paraId="10279E1C">
      <w:pPr>
        <w:widowControl/>
        <w:jc w:val="left"/>
        <w:rPr>
          <w:color w:val="000000"/>
          <w:sz w:val="24"/>
          <w:szCs w:val="20"/>
        </w:rPr>
      </w:pPr>
    </w:p>
    <w:p w14:paraId="3A372E15">
      <w:pPr>
        <w:spacing w:line="400" w:lineRule="exact"/>
        <w:jc w:val="center"/>
        <w:rPr>
          <w:rFonts w:hint="eastAsia" w:ascii="宋体" w:hAnsi="宋体" w:eastAsia="宋体" w:cs="Times New Roman"/>
          <w:b/>
          <w:sz w:val="32"/>
          <w:szCs w:val="32"/>
          <w:lang w:val="en-US" w:eastAsia="zh-CN"/>
        </w:rPr>
      </w:pPr>
      <w:r>
        <w:rPr>
          <w:rFonts w:hint="eastAsia" w:ascii="宋体" w:hAnsi="宋体" w:eastAsia="宋体" w:cs="Times New Roman"/>
          <w:b/>
          <w:sz w:val="32"/>
          <w:szCs w:val="32"/>
          <w:lang w:val="en-US" w:eastAsia="zh-CN"/>
        </w:rPr>
        <w:t>法人或者其他组织的营业执照等证明文件</w:t>
      </w:r>
    </w:p>
    <w:p w14:paraId="151D9DAA">
      <w:pPr>
        <w:pageBreakBefore w:val="0"/>
        <w:spacing w:beforeAutospacing="0" w:afterAutospacing="0" w:line="312" w:lineRule="auto"/>
        <w:rPr>
          <w:rFonts w:hint="eastAsia" w:ascii="宋体" w:hAnsi="宋体" w:eastAsia="宋体" w:cs="宋体"/>
          <w:b/>
          <w:bCs/>
          <w:color w:val="FF0000"/>
          <w:sz w:val="28"/>
          <w:szCs w:val="28"/>
        </w:rPr>
      </w:pPr>
      <w:r>
        <w:rPr>
          <w:rFonts w:hint="eastAsia" w:ascii="宋体" w:hAnsi="宋体" w:cs="宋体"/>
          <w:lang w:bidi="ar"/>
        </w:rPr>
        <w:t xml:space="preserve"> </w:t>
      </w:r>
    </w:p>
    <w:tbl>
      <w:tblPr>
        <w:tblStyle w:val="30"/>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9854"/>
      </w:tblGrid>
      <w:tr w14:paraId="2DDB8D2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179" w:hRule="atLeast"/>
        </w:trPr>
        <w:tc>
          <w:tcPr>
            <w:tcW w:w="9854" w:type="dxa"/>
            <w:noWrap w:val="0"/>
            <w:vAlign w:val="center"/>
          </w:tcPr>
          <w:p w14:paraId="7C4272AF">
            <w:pPr>
              <w:keepNext w:val="0"/>
              <w:keepLines w:val="0"/>
              <w:pageBreakBefore w:val="0"/>
              <w:suppressLineNumbers w:val="0"/>
              <w:spacing w:before="0" w:beforeAutospacing="0" w:after="0" w:afterAutospacing="0" w:line="312" w:lineRule="auto"/>
              <w:ind w:left="0" w:right="0" w:firstLine="4498"/>
              <w:rPr>
                <w:rFonts w:hint="eastAsia" w:ascii="宋体" w:hAnsi="宋体" w:eastAsia="宋体" w:cs="宋体"/>
                <w:sz w:val="24"/>
                <w:szCs w:val="24"/>
              </w:rPr>
            </w:pPr>
            <w:r>
              <w:rPr>
                <w:rFonts w:hint="eastAsia" w:ascii="宋体" w:hAnsi="宋体" w:eastAsia="宋体" w:cs="宋体"/>
                <w:b/>
                <w:bCs/>
                <w:color w:val="FF0000"/>
                <w:sz w:val="24"/>
                <w:szCs w:val="24"/>
                <w:highlight w:val="yellow"/>
              </w:rPr>
              <w:t>（上传扫描件）</w:t>
            </w:r>
          </w:p>
        </w:tc>
      </w:tr>
    </w:tbl>
    <w:p w14:paraId="7C3DA5A0">
      <w:pPr>
        <w:pageBreakBefore w:val="0"/>
        <w:spacing w:beforeAutospacing="0" w:afterAutospacing="0" w:line="312" w:lineRule="auto"/>
        <w:rPr>
          <w:rFonts w:hint="eastAsia" w:ascii="宋体" w:hAnsi="宋体" w:eastAsia="宋体" w:cs="宋体"/>
          <w:sz w:val="24"/>
          <w:szCs w:val="24"/>
        </w:rPr>
      </w:pPr>
    </w:p>
    <w:p w14:paraId="18D0D7E2">
      <w:pPr>
        <w:pStyle w:val="246"/>
        <w:pageBreakBefore w:val="0"/>
        <w:widowControl w:val="0"/>
        <w:spacing w:before="0" w:beforeAutospacing="0" w:after="0" w:afterAutospacing="0" w:line="312" w:lineRule="auto"/>
        <w:jc w:val="both"/>
        <w:rPr>
          <w:rFonts w:hint="eastAsia" w:ascii="宋体" w:hAnsi="宋体" w:eastAsia="宋体" w:cs="宋体"/>
          <w:b/>
          <w:bCs/>
          <w:color w:val="FF0000"/>
          <w:sz w:val="24"/>
          <w:szCs w:val="24"/>
          <w:highlight w:val="yellow"/>
          <w:lang w:val="en-US" w:eastAsia="zh-CN" w:bidi="ar-SA"/>
        </w:rPr>
      </w:pPr>
    </w:p>
    <w:p w14:paraId="5C039DCC">
      <w:pPr>
        <w:pageBreakBefore w:val="0"/>
        <w:spacing w:beforeAutospacing="0" w:afterAutospacing="0" w:line="312" w:lineRule="auto"/>
        <w:rPr>
          <w:rFonts w:hint="eastAsia" w:ascii="宋体" w:hAnsi="宋体" w:eastAsia="宋体" w:cs="宋体"/>
          <w:b/>
          <w:color w:val="000000"/>
          <w:sz w:val="24"/>
          <w:szCs w:val="24"/>
          <w:lang w:bidi="ar"/>
        </w:rPr>
      </w:pPr>
    </w:p>
    <w:p w14:paraId="54B05B11">
      <w:pPr>
        <w:pageBreakBefore w:val="0"/>
        <w:spacing w:beforeAutospacing="0" w:afterAutospacing="0" w:line="312" w:lineRule="auto"/>
        <w:ind w:left="0" w:firstLine="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投标人名称（电子签章）：                                  </w:t>
      </w:r>
    </w:p>
    <w:p w14:paraId="2667EE71">
      <w:pPr>
        <w:pageBreakBefore w:val="0"/>
        <w:spacing w:beforeAutospacing="0" w:afterAutospacing="0" w:line="312" w:lineRule="auto"/>
        <w:rPr>
          <w:rFonts w:hint="eastAsia" w:ascii="宋体" w:hAnsi="宋体" w:eastAsia="宋体" w:cs="宋体"/>
          <w:sz w:val="24"/>
          <w:szCs w:val="24"/>
          <w:lang w:val="en-US" w:eastAsia="zh-CN"/>
        </w:rPr>
      </w:pPr>
    </w:p>
    <w:p w14:paraId="706415E1">
      <w:pPr>
        <w:pageBreakBefore w:val="0"/>
        <w:spacing w:beforeAutospacing="0" w:afterAutospacing="0" w:line="312" w:lineRule="auto"/>
        <w:ind w:left="0" w:firstLine="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日期： </w:t>
      </w:r>
    </w:p>
    <w:p w14:paraId="52702ABA">
      <w:pPr>
        <w:pageBreakBefore w:val="0"/>
        <w:spacing w:beforeAutospacing="0" w:afterAutospacing="0" w:line="312" w:lineRule="auto"/>
        <w:outlineLvl w:val="9"/>
        <w:rPr>
          <w:rFonts w:hint="eastAsia" w:ascii="宋体" w:hAnsi="宋体" w:eastAsia="宋体" w:cs="宋体"/>
          <w:sz w:val="24"/>
          <w:szCs w:val="24"/>
        </w:rPr>
      </w:pPr>
    </w:p>
    <w:p w14:paraId="260B6E71">
      <w:pPr>
        <w:keepNext w:val="0"/>
        <w:keepLines w:val="0"/>
        <w:pageBreakBefore w:val="0"/>
        <w:widowControl w:val="0"/>
        <w:spacing w:beforeAutospacing="0" w:afterAutospacing="0" w:line="360" w:lineRule="auto"/>
        <w:ind w:left="0" w:firstLine="0"/>
        <w:outlineLvl w:val="9"/>
        <w:rPr>
          <w:rFonts w:hint="eastAsia" w:ascii="仿宋_GB2312" w:hAnsi="宋体" w:eastAsia="仿宋_GB2312"/>
          <w:sz w:val="24"/>
          <w:szCs w:val="24"/>
          <w:lang w:val="en-US" w:eastAsia="zh-CN"/>
        </w:rPr>
      </w:pPr>
      <w:r>
        <w:rPr>
          <w:rFonts w:hint="eastAsia" w:ascii="宋体" w:hAnsi="宋体" w:eastAsia="宋体" w:cs="宋体"/>
          <w:b/>
          <w:bCs/>
          <w:color w:val="FF0000"/>
          <w:sz w:val="24"/>
          <w:szCs w:val="24"/>
          <w:highlight w:val="yellow"/>
          <w:lang w:val="en-US" w:eastAsia="zh-CN" w:bidi="ar-SA"/>
        </w:rPr>
        <w:t>备注：请投标人按要求扫描上传粘贴到电子投标文件相应位置。</w:t>
      </w:r>
    </w:p>
    <w:p w14:paraId="0FBD9E1E">
      <w:pPr>
        <w:widowControl/>
        <w:jc w:val="left"/>
        <w:rPr>
          <w:color w:val="000000"/>
          <w:sz w:val="24"/>
          <w:szCs w:val="20"/>
        </w:rPr>
      </w:pPr>
      <w:r>
        <w:rPr>
          <w:color w:val="000000"/>
          <w:sz w:val="24"/>
          <w:szCs w:val="20"/>
        </w:rPr>
        <w:br w:type="page" w:clear="all"/>
      </w:r>
    </w:p>
    <w:p w14:paraId="3027DB8A">
      <w:pPr>
        <w:widowControl/>
        <w:jc w:val="left"/>
        <w:rPr>
          <w:rFonts w:hint="eastAsia"/>
          <w:color w:val="000000"/>
          <w:sz w:val="24"/>
        </w:rPr>
      </w:pPr>
      <w:r>
        <w:rPr>
          <w:color w:val="000000"/>
          <w:sz w:val="24"/>
          <w:szCs w:val="20"/>
        </w:rPr>
        <w:t>7</w:t>
      </w:r>
      <w:r>
        <w:rPr>
          <w:rFonts w:hint="eastAsia"/>
          <w:color w:val="000000"/>
          <w:sz w:val="24"/>
          <w:szCs w:val="20"/>
        </w:rPr>
        <w:t xml:space="preserve"> </w:t>
      </w:r>
      <w:r>
        <w:rPr>
          <w:rFonts w:hint="eastAsia"/>
          <w:color w:val="000000"/>
          <w:sz w:val="24"/>
        </w:rPr>
        <w:t>政府采购供应商信用承诺书</w:t>
      </w:r>
      <w:r>
        <w:rPr>
          <w:color w:val="000000"/>
          <w:sz w:val="24"/>
          <w:szCs w:val="20"/>
        </w:rPr>
        <w:t>（实质性格式）</w:t>
      </w:r>
    </w:p>
    <w:p w14:paraId="410F471D">
      <w:pPr>
        <w:spacing w:line="560" w:lineRule="exact"/>
        <w:ind w:firstLine="321"/>
        <w:jc w:val="center"/>
        <w:rPr>
          <w:rFonts w:hint="eastAsia" w:ascii="黑体" w:hAnsi="黑体" w:eastAsia="黑体"/>
          <w:b/>
          <w:sz w:val="32"/>
          <w:szCs w:val="32"/>
        </w:rPr>
      </w:pPr>
    </w:p>
    <w:p w14:paraId="4BA38B72">
      <w:pPr>
        <w:spacing w:line="560" w:lineRule="exact"/>
        <w:ind w:firstLine="321"/>
        <w:jc w:val="center"/>
        <w:rPr>
          <w:rFonts w:ascii="黑体" w:hAnsi="黑体" w:eastAsia="黑体"/>
          <w:b/>
          <w:sz w:val="32"/>
          <w:szCs w:val="32"/>
        </w:rPr>
      </w:pPr>
      <w:r>
        <w:rPr>
          <w:rFonts w:hint="eastAsia" w:ascii="黑体" w:hAnsi="黑体" w:eastAsia="黑体"/>
          <w:b/>
          <w:sz w:val="32"/>
          <w:szCs w:val="32"/>
        </w:rPr>
        <w:t>政府采购供应商信用承诺书</w:t>
      </w:r>
    </w:p>
    <w:p w14:paraId="2A0871DF">
      <w:pPr>
        <w:ind w:firstLine="640"/>
      </w:pPr>
    </w:p>
    <w:p w14:paraId="21D2D5F2">
      <w:pPr>
        <w:spacing w:line="276" w:lineRule="auto"/>
        <w:ind w:firstLine="480"/>
        <w:rPr>
          <w:rFonts w:ascii="宋体" w:hAnsi="宋体"/>
          <w:sz w:val="24"/>
        </w:rPr>
      </w:pPr>
      <w:r>
        <w:rPr>
          <w:rFonts w:hint="eastAsia" w:ascii="宋体" w:hAnsi="宋体"/>
          <w:sz w:val="24"/>
        </w:rPr>
        <w:t>为维护公开、公平、公正的政府采购市场秩序，树立诚实守信的供应商形象，本单位在参与政府采购活动中,自愿作出以下承诺：</w:t>
      </w:r>
    </w:p>
    <w:p w14:paraId="50C06B38">
      <w:pPr>
        <w:spacing w:line="276" w:lineRule="auto"/>
        <w:ind w:firstLine="480"/>
        <w:rPr>
          <w:rFonts w:ascii="宋体" w:hAnsi="宋体"/>
          <w:sz w:val="24"/>
        </w:rPr>
      </w:pPr>
      <w:r>
        <w:rPr>
          <w:rFonts w:hint="eastAsia" w:ascii="宋体" w:hAnsi="宋体"/>
          <w:sz w:val="24"/>
        </w:rPr>
        <w:t>一、严格遵守国家法律、法规和规章，全面履行应尽的责任和义务，全面做到履约守信，具备《政府采购法》第二十二条第一款规定的条件。</w:t>
      </w:r>
    </w:p>
    <w:p w14:paraId="5DCC9A19">
      <w:pPr>
        <w:spacing w:line="276" w:lineRule="auto"/>
        <w:ind w:firstLine="480"/>
        <w:rPr>
          <w:rFonts w:ascii="宋体" w:hAnsi="宋体"/>
          <w:sz w:val="24"/>
        </w:rPr>
      </w:pPr>
      <w:r>
        <w:rPr>
          <w:rFonts w:hint="eastAsia" w:ascii="宋体" w:hAnsi="宋体"/>
          <w:sz w:val="24"/>
        </w:rPr>
        <w:t>二、本单位已经阅读并充分理解《常州市政府采购供应商信用管理暂行办法》，自愿按照《常州市政府采购供应商信用管理暂行办法》规定，发生失信行为将记录并公开到“信用常州”、常州市政府采购网。</w:t>
      </w:r>
    </w:p>
    <w:p w14:paraId="6F0D6919">
      <w:pPr>
        <w:spacing w:line="276" w:lineRule="auto"/>
        <w:ind w:firstLine="480"/>
        <w:rPr>
          <w:rFonts w:ascii="宋体" w:hAnsi="宋体"/>
          <w:sz w:val="24"/>
        </w:rPr>
      </w:pPr>
      <w:r>
        <w:rPr>
          <w:rFonts w:hint="eastAsia" w:ascii="宋体" w:hAnsi="宋体"/>
          <w:sz w:val="24"/>
        </w:rPr>
        <w:t>三、本单位提供给注册登记部门、行业管理部门、司法部门、行业组织以及在政府采购活动中提交的所有资料均合法、真实、有效，无任何伪造、修改、虚假成份，并对所提供资料的真实性负责。</w:t>
      </w:r>
    </w:p>
    <w:p w14:paraId="51ED1B8F">
      <w:pPr>
        <w:spacing w:line="276" w:lineRule="auto"/>
        <w:ind w:firstLine="480"/>
        <w:rPr>
          <w:rFonts w:ascii="宋体" w:hAnsi="宋体"/>
          <w:sz w:val="24"/>
        </w:rPr>
      </w:pPr>
      <w:r>
        <w:rPr>
          <w:rFonts w:hint="eastAsia" w:ascii="宋体" w:hAnsi="宋体"/>
          <w:sz w:val="24"/>
        </w:rPr>
        <w:t>四、严格依法开展生产经营活动，主动接受行业监管，自愿接受依法开展的日常检查；违法失信经营后将自愿接受约束和惩戒，并依法承担相应责任。</w:t>
      </w:r>
    </w:p>
    <w:p w14:paraId="4468746F">
      <w:pPr>
        <w:spacing w:line="276" w:lineRule="auto"/>
        <w:ind w:firstLine="480"/>
        <w:rPr>
          <w:rFonts w:ascii="宋体" w:hAnsi="宋体"/>
          <w:sz w:val="24"/>
        </w:rPr>
      </w:pPr>
      <w:r>
        <w:rPr>
          <w:rFonts w:hint="eastAsia" w:ascii="宋体" w:hAnsi="宋体"/>
          <w:sz w:val="24"/>
        </w:rPr>
        <w:t xml:space="preserve">五、承诺本单位自觉接受行政管理部门、行业组织、社会公众、新闻舆论的监督。 </w:t>
      </w:r>
    </w:p>
    <w:p w14:paraId="73A61DD1">
      <w:pPr>
        <w:spacing w:line="276" w:lineRule="auto"/>
        <w:ind w:firstLine="480"/>
        <w:rPr>
          <w:rFonts w:ascii="宋体" w:hAnsi="宋体"/>
          <w:sz w:val="24"/>
        </w:rPr>
      </w:pPr>
      <w:r>
        <w:rPr>
          <w:rFonts w:hint="eastAsia" w:ascii="宋体" w:hAnsi="宋体"/>
          <w:sz w:val="24"/>
        </w:rPr>
        <w:t xml:space="preserve">六、承诺本单位自我约束、自我管理，重合同、守信用，不制假售假、商标侵权、虚假宣传、违约毁约、恶意逃债、偷税漏税、价格欺诈、垄断和不正当竞争，维护经营者、消费者的合法权益。 </w:t>
      </w:r>
    </w:p>
    <w:p w14:paraId="76A84B3D">
      <w:pPr>
        <w:spacing w:line="276" w:lineRule="auto"/>
        <w:ind w:firstLine="480"/>
        <w:rPr>
          <w:rFonts w:ascii="宋体" w:hAnsi="宋体"/>
          <w:sz w:val="24"/>
        </w:rPr>
      </w:pPr>
      <w:r>
        <w:rPr>
          <w:rFonts w:hint="eastAsia" w:ascii="宋体" w:hAnsi="宋体"/>
          <w:sz w:val="24"/>
        </w:rPr>
        <w:t xml:space="preserve">七、承诺本单位在信用中国网站中无重大违法违规、较重或严重失信记录。 </w:t>
      </w:r>
    </w:p>
    <w:p w14:paraId="5B396518">
      <w:pPr>
        <w:spacing w:line="276" w:lineRule="auto"/>
        <w:ind w:firstLine="480"/>
        <w:rPr>
          <w:rFonts w:ascii="宋体" w:hAnsi="宋体"/>
          <w:sz w:val="24"/>
        </w:rPr>
      </w:pPr>
      <w:r>
        <w:rPr>
          <w:rFonts w:hint="eastAsia" w:ascii="宋体" w:hAnsi="宋体"/>
          <w:sz w:val="24"/>
        </w:rPr>
        <w:t>八、承诺本单位提出政府采购质疑和投诉坚持依法依规、诚实信用原则。</w:t>
      </w:r>
    </w:p>
    <w:p w14:paraId="5FC12249">
      <w:pPr>
        <w:spacing w:line="276" w:lineRule="auto"/>
        <w:ind w:firstLine="480"/>
        <w:rPr>
          <w:rFonts w:ascii="宋体" w:hAnsi="宋体"/>
          <w:sz w:val="24"/>
        </w:rPr>
      </w:pPr>
      <w:r>
        <w:rPr>
          <w:rFonts w:hint="eastAsia" w:ascii="宋体" w:hAnsi="宋体"/>
          <w:sz w:val="24"/>
        </w:rPr>
        <w:t xml:space="preserve">九、根据政府采购相关法律法规的规定需要作出的其他承诺。 </w:t>
      </w:r>
    </w:p>
    <w:p w14:paraId="6FA5D208">
      <w:pPr>
        <w:spacing w:line="276" w:lineRule="auto"/>
        <w:ind w:firstLine="480"/>
        <w:rPr>
          <w:rFonts w:ascii="宋体" w:hAnsi="宋体"/>
          <w:sz w:val="24"/>
        </w:rPr>
      </w:pPr>
      <w:r>
        <w:rPr>
          <w:rFonts w:hint="eastAsia" w:ascii="宋体" w:hAnsi="宋体"/>
          <w:sz w:val="24"/>
        </w:rPr>
        <w:t>十、承诺本单位若违背承诺约定，经查实，愿意接受行业主管部门和信用管理部门相应的规定处罚，承担违约责任，并依法承担相应的法律责任。</w:t>
      </w:r>
    </w:p>
    <w:p w14:paraId="29EAD9AF">
      <w:pPr>
        <w:spacing w:line="276" w:lineRule="auto"/>
        <w:ind w:firstLine="480"/>
        <w:rPr>
          <w:rFonts w:ascii="宋体" w:hAnsi="宋体"/>
          <w:sz w:val="24"/>
        </w:rPr>
      </w:pPr>
      <w:r>
        <w:rPr>
          <w:rFonts w:hint="eastAsia" w:ascii="宋体" w:hAnsi="宋体"/>
          <w:sz w:val="24"/>
        </w:rPr>
        <w:t>十一、承诺本单位同意将以上承诺事项上网公示，违背承诺约定行为将作为失信信息，记录到常州市公共信用信息系统，并予以公开。</w:t>
      </w:r>
    </w:p>
    <w:p w14:paraId="44A99D38">
      <w:pPr>
        <w:pStyle w:val="434"/>
        <w:spacing w:line="276" w:lineRule="auto"/>
        <w:ind w:right="1050" w:firstLine="2880"/>
        <w:jc w:val="both"/>
        <w:rPr>
          <w:rFonts w:ascii="宋体" w:hAnsi="宋体" w:eastAsia="宋体"/>
          <w:sz w:val="24"/>
          <w:szCs w:val="22"/>
        </w:rPr>
      </w:pPr>
    </w:p>
    <w:p w14:paraId="257C1D6B">
      <w:pPr>
        <w:spacing w:before="25" w:after="25" w:line="360" w:lineRule="auto"/>
        <w:rPr>
          <w:color w:val="000000"/>
          <w:sz w:val="24"/>
          <w:lang w:val="zh-CN"/>
        </w:rPr>
      </w:pPr>
      <w:r>
        <w:rPr>
          <w:color w:val="000000"/>
          <w:sz w:val="24"/>
        </w:rPr>
        <w:t>投标人名称（加盖公章）</w:t>
      </w:r>
      <w:r>
        <w:rPr>
          <w:color w:val="000000"/>
          <w:sz w:val="24"/>
          <w:lang w:val="zh-CN"/>
        </w:rPr>
        <w:t>：____________</w:t>
      </w:r>
    </w:p>
    <w:p w14:paraId="2BC0D142">
      <w:pPr>
        <w:spacing w:before="25" w:after="25" w:line="360" w:lineRule="auto"/>
        <w:rPr>
          <w:color w:val="000000"/>
          <w:sz w:val="24"/>
          <w:lang w:val="zh-CN"/>
        </w:rPr>
      </w:pPr>
      <w:r>
        <w:rPr>
          <w:color w:val="000000"/>
          <w:sz w:val="24"/>
          <w:szCs w:val="20"/>
        </w:rPr>
        <w:t xml:space="preserve">日期：_____年______月______日   </w:t>
      </w:r>
    </w:p>
    <w:p w14:paraId="4FBADB54">
      <w:pPr>
        <w:spacing w:line="360" w:lineRule="auto"/>
        <w:outlineLvl w:val="2"/>
        <w:rPr>
          <w:rFonts w:hint="eastAsia"/>
          <w:color w:val="000000"/>
          <w:sz w:val="24"/>
          <w:szCs w:val="20"/>
        </w:rPr>
      </w:pPr>
    </w:p>
    <w:p w14:paraId="3D2E2AFD">
      <w:pPr>
        <w:spacing w:line="360" w:lineRule="auto"/>
        <w:outlineLvl w:val="2"/>
        <w:rPr>
          <w:rFonts w:hint="eastAsia"/>
          <w:color w:val="000000"/>
          <w:sz w:val="24"/>
          <w:szCs w:val="20"/>
        </w:rPr>
      </w:pPr>
    </w:p>
    <w:p w14:paraId="50A4D913">
      <w:pPr>
        <w:spacing w:line="360" w:lineRule="auto"/>
        <w:outlineLvl w:val="2"/>
        <w:rPr>
          <w:rFonts w:hint="eastAsia"/>
          <w:color w:val="000000"/>
          <w:sz w:val="24"/>
          <w:szCs w:val="20"/>
        </w:rPr>
      </w:pPr>
    </w:p>
    <w:p w14:paraId="796231AF">
      <w:pPr>
        <w:spacing w:line="360" w:lineRule="auto"/>
        <w:outlineLvl w:val="2"/>
        <w:rPr>
          <w:rFonts w:hint="eastAsia"/>
          <w:color w:val="000000"/>
          <w:sz w:val="24"/>
          <w:szCs w:val="20"/>
        </w:rPr>
      </w:pPr>
    </w:p>
    <w:p w14:paraId="02058D28">
      <w:pPr>
        <w:spacing w:line="360" w:lineRule="auto"/>
        <w:outlineLvl w:val="2"/>
        <w:rPr>
          <w:rFonts w:hint="eastAsia"/>
          <w:color w:val="000000"/>
          <w:sz w:val="24"/>
          <w:szCs w:val="20"/>
        </w:rPr>
      </w:pPr>
    </w:p>
    <w:p w14:paraId="3AD5ACF0">
      <w:pPr>
        <w:spacing w:line="360" w:lineRule="auto"/>
        <w:outlineLvl w:val="2"/>
        <w:rPr>
          <w:rFonts w:hint="eastAsia"/>
          <w:color w:val="000000"/>
          <w:sz w:val="24"/>
          <w:szCs w:val="20"/>
        </w:rPr>
      </w:pPr>
    </w:p>
    <w:p w14:paraId="0C08DF66">
      <w:pPr>
        <w:spacing w:line="360" w:lineRule="auto"/>
        <w:outlineLvl w:val="2"/>
        <w:rPr>
          <w:rFonts w:hint="eastAsia"/>
          <w:color w:val="000000"/>
          <w:sz w:val="24"/>
          <w:szCs w:val="20"/>
        </w:rPr>
      </w:pPr>
    </w:p>
    <w:p w14:paraId="4DFBBA66">
      <w:pPr>
        <w:spacing w:line="360" w:lineRule="auto"/>
        <w:outlineLvl w:val="2"/>
        <w:rPr>
          <w:color w:val="000000"/>
          <w:sz w:val="24"/>
          <w:szCs w:val="20"/>
        </w:rPr>
      </w:pPr>
      <w:r>
        <w:rPr>
          <w:rFonts w:hint="eastAsia"/>
          <w:color w:val="000000"/>
          <w:sz w:val="24"/>
          <w:szCs w:val="20"/>
        </w:rPr>
        <w:t xml:space="preserve">8 </w:t>
      </w:r>
      <w:r>
        <w:rPr>
          <w:color w:val="000000"/>
          <w:sz w:val="24"/>
          <w:szCs w:val="20"/>
        </w:rPr>
        <w:t>报价一览表</w:t>
      </w:r>
      <w:bookmarkEnd w:id="683"/>
      <w:bookmarkEnd w:id="684"/>
      <w:bookmarkEnd w:id="685"/>
      <w:bookmarkEnd w:id="686"/>
      <w:bookmarkEnd w:id="687"/>
      <w:bookmarkEnd w:id="688"/>
      <w:bookmarkEnd w:id="689"/>
      <w:bookmarkEnd w:id="690"/>
      <w:bookmarkEnd w:id="691"/>
      <w:bookmarkEnd w:id="692"/>
      <w:bookmarkEnd w:id="693"/>
      <w:bookmarkEnd w:id="694"/>
      <w:bookmarkEnd w:id="695"/>
      <w:bookmarkEnd w:id="696"/>
      <w:bookmarkEnd w:id="697"/>
      <w:bookmarkEnd w:id="698"/>
    </w:p>
    <w:p w14:paraId="288D1F62">
      <w:pPr>
        <w:spacing w:line="360" w:lineRule="exact"/>
        <w:jc w:val="center"/>
        <w:rPr>
          <w:b/>
          <w:color w:val="000000"/>
          <w:sz w:val="36"/>
          <w:szCs w:val="36"/>
        </w:rPr>
      </w:pPr>
      <w:bookmarkStart w:id="699" w:name="_Toc226965748"/>
      <w:bookmarkStart w:id="700" w:name="_Toc226965831"/>
      <w:bookmarkStart w:id="701" w:name="_Toc195842923"/>
      <w:bookmarkStart w:id="702" w:name="_Toc305158900"/>
      <w:bookmarkStart w:id="703" w:name="_Toc305158826"/>
      <w:bookmarkStart w:id="704" w:name="_Toc164608672"/>
      <w:bookmarkStart w:id="705" w:name="_Toc226309802"/>
      <w:bookmarkStart w:id="706" w:name="_Toc265228396"/>
      <w:bookmarkStart w:id="707" w:name="_Toc264969248"/>
      <w:bookmarkStart w:id="708" w:name="_Toc164608827"/>
      <w:bookmarkStart w:id="709" w:name="_Toc226337254"/>
      <w:r>
        <w:rPr>
          <w:b/>
          <w:color w:val="000000"/>
          <w:sz w:val="36"/>
          <w:szCs w:val="36"/>
        </w:rPr>
        <w:t>报价一览表</w:t>
      </w:r>
      <w:bookmarkEnd w:id="699"/>
      <w:bookmarkEnd w:id="700"/>
      <w:bookmarkEnd w:id="701"/>
      <w:bookmarkEnd w:id="702"/>
      <w:bookmarkEnd w:id="703"/>
      <w:bookmarkEnd w:id="704"/>
      <w:bookmarkEnd w:id="705"/>
      <w:bookmarkEnd w:id="706"/>
      <w:bookmarkEnd w:id="707"/>
      <w:bookmarkEnd w:id="708"/>
      <w:bookmarkEnd w:id="709"/>
    </w:p>
    <w:p w14:paraId="65E18F2E">
      <w:pPr>
        <w:tabs>
          <w:tab w:val="left" w:pos="1800"/>
          <w:tab w:val="left" w:pos="5580"/>
        </w:tabs>
        <w:spacing w:line="360" w:lineRule="auto"/>
        <w:ind w:firstLine="240"/>
        <w:jc w:val="left"/>
        <w:rPr>
          <w:color w:val="000000"/>
          <w:sz w:val="24"/>
        </w:rPr>
      </w:pPr>
    </w:p>
    <w:p w14:paraId="71EC50EB">
      <w:pPr>
        <w:tabs>
          <w:tab w:val="left" w:pos="1800"/>
          <w:tab w:val="left" w:pos="5580"/>
        </w:tabs>
        <w:spacing w:line="360" w:lineRule="auto"/>
        <w:ind w:firstLine="240"/>
        <w:jc w:val="left"/>
        <w:rPr>
          <w:color w:val="000000"/>
          <w:sz w:val="24"/>
          <w:u w:val="single"/>
        </w:rPr>
      </w:pPr>
      <w:r>
        <w:rPr>
          <w:color w:val="000000"/>
          <w:sz w:val="24"/>
        </w:rPr>
        <w:t>项目编号/包号：_____________________     项目名称：_______________________</w:t>
      </w:r>
    </w:p>
    <w:tbl>
      <w:tblPr>
        <w:tblStyle w:val="30"/>
        <w:tblW w:w="4499"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0" w:type="dxa"/>
          <w:bottom w:w="0" w:type="dxa"/>
          <w:right w:w="0" w:type="dxa"/>
        </w:tblCellMar>
      </w:tblPr>
      <w:tblGrid>
        <w:gridCol w:w="612"/>
        <w:gridCol w:w="2422"/>
        <w:gridCol w:w="1531"/>
        <w:gridCol w:w="3607"/>
      </w:tblGrid>
      <w:tr w14:paraId="26126F8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31" w:hRule="atLeast"/>
          <w:jc w:val="center"/>
        </w:trPr>
        <w:tc>
          <w:tcPr>
            <w:tcW w:w="496" w:type="dxa"/>
            <w:vMerge w:val="restart"/>
            <w:noWrap w:val="0"/>
            <w:vAlign w:val="center"/>
          </w:tcPr>
          <w:p w14:paraId="5AAD3954">
            <w:pPr>
              <w:tabs>
                <w:tab w:val="left" w:pos="5580"/>
              </w:tabs>
              <w:jc w:val="center"/>
              <w:rPr>
                <w:b/>
                <w:sz w:val="24"/>
              </w:rPr>
            </w:pPr>
            <w:r>
              <w:rPr>
                <w:b/>
                <w:sz w:val="24"/>
              </w:rPr>
              <w:t>序号</w:t>
            </w:r>
          </w:p>
        </w:tc>
        <w:tc>
          <w:tcPr>
            <w:tcW w:w="1960" w:type="dxa"/>
            <w:vMerge w:val="restart"/>
            <w:noWrap w:val="0"/>
            <w:vAlign w:val="center"/>
          </w:tcPr>
          <w:p w14:paraId="2EACC204">
            <w:pPr>
              <w:tabs>
                <w:tab w:val="left" w:pos="5580"/>
              </w:tabs>
              <w:jc w:val="center"/>
              <w:rPr>
                <w:b/>
                <w:sz w:val="24"/>
              </w:rPr>
            </w:pPr>
            <w:r>
              <w:rPr>
                <w:b/>
                <w:sz w:val="24"/>
              </w:rPr>
              <w:t>供应商名称</w:t>
            </w:r>
          </w:p>
        </w:tc>
        <w:tc>
          <w:tcPr>
            <w:tcW w:w="4158" w:type="dxa"/>
            <w:gridSpan w:val="2"/>
            <w:noWrap w:val="0"/>
            <w:vAlign w:val="center"/>
          </w:tcPr>
          <w:p w14:paraId="552603F1">
            <w:pPr>
              <w:tabs>
                <w:tab w:val="left" w:pos="5580"/>
              </w:tabs>
              <w:jc w:val="center"/>
              <w:rPr>
                <w:b/>
                <w:sz w:val="24"/>
              </w:rPr>
            </w:pPr>
            <w:r>
              <w:rPr>
                <w:b/>
                <w:sz w:val="24"/>
              </w:rPr>
              <w:t>报价</w:t>
            </w:r>
          </w:p>
        </w:tc>
      </w:tr>
      <w:tr w14:paraId="170CD17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74" w:hRule="atLeast"/>
          <w:jc w:val="center"/>
        </w:trPr>
        <w:tc>
          <w:tcPr>
            <w:tcW w:w="496" w:type="dxa"/>
            <w:vMerge w:val="continue"/>
            <w:noWrap w:val="0"/>
            <w:vAlign w:val="center"/>
          </w:tcPr>
          <w:p w14:paraId="74A5A79E">
            <w:pPr>
              <w:tabs>
                <w:tab w:val="left" w:pos="5580"/>
              </w:tabs>
              <w:jc w:val="center"/>
              <w:rPr>
                <w:sz w:val="24"/>
              </w:rPr>
            </w:pPr>
          </w:p>
        </w:tc>
        <w:tc>
          <w:tcPr>
            <w:tcW w:w="1960" w:type="dxa"/>
            <w:vMerge w:val="continue"/>
            <w:noWrap w:val="0"/>
            <w:vAlign w:val="center"/>
          </w:tcPr>
          <w:p w14:paraId="1BB9A8A1">
            <w:pPr>
              <w:tabs>
                <w:tab w:val="left" w:pos="5580"/>
              </w:tabs>
              <w:jc w:val="center"/>
              <w:rPr>
                <w:sz w:val="24"/>
              </w:rPr>
            </w:pPr>
          </w:p>
        </w:tc>
        <w:tc>
          <w:tcPr>
            <w:tcW w:w="1239" w:type="dxa"/>
            <w:noWrap w:val="0"/>
            <w:vAlign w:val="center"/>
          </w:tcPr>
          <w:p w14:paraId="0C250850">
            <w:pPr>
              <w:tabs>
                <w:tab w:val="left" w:pos="5580"/>
              </w:tabs>
              <w:jc w:val="center"/>
              <w:rPr>
                <w:b/>
                <w:sz w:val="24"/>
              </w:rPr>
            </w:pPr>
            <w:r>
              <w:rPr>
                <w:b/>
                <w:sz w:val="24"/>
              </w:rPr>
              <w:t>大写</w:t>
            </w:r>
          </w:p>
        </w:tc>
        <w:tc>
          <w:tcPr>
            <w:tcW w:w="1304" w:type="dxa"/>
            <w:noWrap w:val="0"/>
            <w:vAlign w:val="center"/>
          </w:tcPr>
          <w:p w14:paraId="1B1C6FE7">
            <w:pPr>
              <w:tabs>
                <w:tab w:val="left" w:pos="5580"/>
              </w:tabs>
              <w:jc w:val="center"/>
              <w:rPr>
                <w:b/>
                <w:sz w:val="24"/>
              </w:rPr>
            </w:pPr>
            <w:r>
              <w:rPr>
                <w:b/>
                <w:sz w:val="24"/>
              </w:rPr>
              <w:t>小写</w:t>
            </w:r>
          </w:p>
        </w:tc>
      </w:tr>
      <w:tr w14:paraId="0DC4B12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76" w:hRule="atLeast"/>
          <w:jc w:val="center"/>
        </w:trPr>
        <w:tc>
          <w:tcPr>
            <w:tcW w:w="496" w:type="dxa"/>
            <w:noWrap w:val="0"/>
            <w:vAlign w:val="center"/>
          </w:tcPr>
          <w:p w14:paraId="56CE3E53">
            <w:pPr>
              <w:tabs>
                <w:tab w:val="left" w:pos="5580"/>
              </w:tabs>
              <w:jc w:val="center"/>
              <w:rPr>
                <w:sz w:val="24"/>
              </w:rPr>
            </w:pPr>
          </w:p>
        </w:tc>
        <w:tc>
          <w:tcPr>
            <w:tcW w:w="1960" w:type="dxa"/>
            <w:noWrap w:val="0"/>
            <w:vAlign w:val="center"/>
          </w:tcPr>
          <w:p w14:paraId="30878CD8">
            <w:pPr>
              <w:tabs>
                <w:tab w:val="left" w:pos="5580"/>
              </w:tabs>
              <w:jc w:val="center"/>
              <w:rPr>
                <w:sz w:val="24"/>
              </w:rPr>
            </w:pPr>
          </w:p>
        </w:tc>
        <w:tc>
          <w:tcPr>
            <w:tcW w:w="1239" w:type="dxa"/>
            <w:noWrap w:val="0"/>
            <w:vAlign w:val="center"/>
          </w:tcPr>
          <w:p w14:paraId="2CD3B85A">
            <w:pPr>
              <w:tabs>
                <w:tab w:val="left" w:pos="5580"/>
              </w:tabs>
              <w:jc w:val="center"/>
              <w:rPr>
                <w:sz w:val="24"/>
              </w:rPr>
            </w:pPr>
          </w:p>
        </w:tc>
        <w:tc>
          <w:tcPr>
            <w:tcW w:w="1304" w:type="dxa"/>
            <w:noWrap w:val="0"/>
            <w:vAlign w:val="center"/>
          </w:tcPr>
          <w:p w14:paraId="5FCDB9D7">
            <w:pPr>
              <w:tabs>
                <w:tab w:val="left" w:pos="5580"/>
              </w:tabs>
              <w:jc w:val="center"/>
              <w:rPr>
                <w:sz w:val="24"/>
              </w:rPr>
            </w:pPr>
          </w:p>
        </w:tc>
      </w:tr>
    </w:tbl>
    <w:p w14:paraId="7BCB3E83">
      <w:pPr>
        <w:jc w:val="left"/>
        <w:rPr>
          <w:color w:val="000000"/>
          <w:sz w:val="24"/>
        </w:rPr>
      </w:pPr>
    </w:p>
    <w:p w14:paraId="167ACB75">
      <w:pPr>
        <w:jc w:val="left"/>
        <w:rPr>
          <w:color w:val="000000"/>
          <w:sz w:val="24"/>
          <w:szCs w:val="20"/>
        </w:rPr>
      </w:pPr>
      <w:r>
        <w:rPr>
          <w:color w:val="000000"/>
          <w:sz w:val="24"/>
        </w:rPr>
        <w:t>注：1</w:t>
      </w:r>
      <w:r>
        <w:rPr>
          <w:color w:val="000000"/>
          <w:sz w:val="24"/>
          <w:szCs w:val="20"/>
        </w:rPr>
        <w:t>.此表中，每包的报价应和《分项报价表》中的总价相一致。</w:t>
      </w:r>
    </w:p>
    <w:p w14:paraId="7E9CA532">
      <w:pPr>
        <w:spacing w:before="25" w:after="25" w:line="360" w:lineRule="auto"/>
        <w:rPr>
          <w:color w:val="000000"/>
          <w:sz w:val="24"/>
          <w:lang w:val="zh-CN"/>
        </w:rPr>
      </w:pPr>
    </w:p>
    <w:p w14:paraId="2F9E3BE5">
      <w:pPr>
        <w:spacing w:before="25" w:after="25" w:line="360" w:lineRule="auto"/>
        <w:rPr>
          <w:color w:val="000000"/>
          <w:sz w:val="24"/>
          <w:lang w:val="zh-CN"/>
        </w:rPr>
      </w:pPr>
      <w:r>
        <w:rPr>
          <w:color w:val="000000"/>
          <w:sz w:val="24"/>
          <w:lang w:val="zh-CN"/>
        </w:rPr>
        <w:t xml:space="preserve">                         </w:t>
      </w:r>
    </w:p>
    <w:p w14:paraId="15B25359">
      <w:pPr>
        <w:spacing w:before="25" w:after="25" w:line="360" w:lineRule="auto"/>
        <w:rPr>
          <w:color w:val="000000"/>
          <w:sz w:val="24"/>
          <w:lang w:val="zh-CN"/>
        </w:rPr>
      </w:pPr>
      <w:r>
        <w:rPr>
          <w:color w:val="000000"/>
          <w:sz w:val="24"/>
        </w:rPr>
        <w:t>供应商名称（加盖公章）</w:t>
      </w:r>
      <w:r>
        <w:rPr>
          <w:color w:val="000000"/>
          <w:sz w:val="24"/>
          <w:lang w:val="zh-CN"/>
        </w:rPr>
        <w:t>：____________</w:t>
      </w:r>
    </w:p>
    <w:p w14:paraId="143C061C">
      <w:pPr>
        <w:spacing w:before="25" w:after="25" w:line="360" w:lineRule="auto"/>
        <w:rPr>
          <w:color w:val="000000"/>
          <w:sz w:val="24"/>
          <w:lang w:val="zh-CN"/>
        </w:rPr>
      </w:pPr>
      <w:r>
        <w:rPr>
          <w:color w:val="000000"/>
          <w:sz w:val="24"/>
          <w:szCs w:val="20"/>
        </w:rPr>
        <w:t xml:space="preserve">日期：_____年______月______日   </w:t>
      </w:r>
    </w:p>
    <w:p w14:paraId="7F71DD26">
      <w:pPr>
        <w:widowControl/>
        <w:jc w:val="left"/>
        <w:rPr>
          <w:color w:val="000000"/>
          <w:sz w:val="24"/>
          <w:szCs w:val="20"/>
        </w:rPr>
      </w:pPr>
      <w:bookmarkStart w:id="710" w:name="_Toc142311060"/>
      <w:bookmarkStart w:id="711" w:name="_Toc226965749"/>
      <w:bookmarkStart w:id="712" w:name="_Toc150480796"/>
      <w:bookmarkStart w:id="713" w:name="_Toc226309803"/>
      <w:bookmarkStart w:id="714" w:name="_Toc305158901"/>
      <w:bookmarkStart w:id="715" w:name="_Toc305158827"/>
      <w:bookmarkStart w:id="716" w:name="_Toc195842924"/>
      <w:bookmarkStart w:id="717" w:name="_Toc264969249"/>
      <w:bookmarkStart w:id="718" w:name="_Toc226337255"/>
      <w:bookmarkStart w:id="719" w:name="_Toc265228397"/>
      <w:bookmarkStart w:id="720" w:name="_Toc150774763"/>
      <w:bookmarkStart w:id="721" w:name="_Toc226965832"/>
      <w:bookmarkStart w:id="722" w:name="_Toc127151558"/>
      <w:r>
        <w:rPr>
          <w:color w:val="000000"/>
          <w:sz w:val="24"/>
          <w:szCs w:val="20"/>
        </w:rPr>
        <w:br w:type="page" w:clear="all"/>
      </w:r>
    </w:p>
    <w:bookmarkEnd w:id="710"/>
    <w:bookmarkEnd w:id="711"/>
    <w:bookmarkEnd w:id="712"/>
    <w:bookmarkEnd w:id="713"/>
    <w:bookmarkEnd w:id="714"/>
    <w:bookmarkEnd w:id="715"/>
    <w:bookmarkEnd w:id="716"/>
    <w:bookmarkEnd w:id="717"/>
    <w:bookmarkEnd w:id="718"/>
    <w:bookmarkEnd w:id="719"/>
    <w:bookmarkEnd w:id="720"/>
    <w:bookmarkEnd w:id="721"/>
    <w:bookmarkEnd w:id="722"/>
    <w:p w14:paraId="4DDD8ADA">
      <w:pPr>
        <w:spacing w:line="360" w:lineRule="auto"/>
        <w:outlineLvl w:val="2"/>
        <w:rPr>
          <w:color w:val="000000"/>
          <w:sz w:val="24"/>
          <w:szCs w:val="20"/>
        </w:rPr>
      </w:pPr>
      <w:bookmarkStart w:id="723" w:name="_Toc226337258"/>
      <w:bookmarkStart w:id="724" w:name="_Toc150480798"/>
      <w:bookmarkStart w:id="725" w:name="_Toc265228400"/>
      <w:bookmarkStart w:id="726" w:name="_Toc264969252"/>
      <w:bookmarkStart w:id="727" w:name="_Toc305158904"/>
      <w:bookmarkStart w:id="728" w:name="_Toc127151562"/>
      <w:bookmarkStart w:id="729" w:name="_Toc226309806"/>
      <w:bookmarkStart w:id="730" w:name="_Toc150774765"/>
      <w:bookmarkStart w:id="731" w:name="_Toc195842927"/>
      <w:bookmarkStart w:id="732" w:name="_Toc226965835"/>
      <w:bookmarkStart w:id="733" w:name="_Toc142311062"/>
      <w:bookmarkStart w:id="734" w:name="_Toc226965752"/>
      <w:bookmarkStart w:id="735" w:name="_Toc305158830"/>
      <w:bookmarkStart w:id="736" w:name="_Toc226965751"/>
      <w:bookmarkStart w:id="737" w:name="_Toc264969251"/>
      <w:bookmarkStart w:id="738" w:name="_Toc226309805"/>
      <w:bookmarkStart w:id="739" w:name="_Toc265228399"/>
      <w:bookmarkStart w:id="740" w:name="_Toc226337257"/>
      <w:bookmarkStart w:id="741" w:name="_Toc150480797"/>
      <w:bookmarkStart w:id="742" w:name="_Toc305158829"/>
      <w:bookmarkStart w:id="743" w:name="_Toc305158903"/>
      <w:bookmarkStart w:id="744" w:name="_Toc150774764"/>
      <w:bookmarkStart w:id="745" w:name="_Toc127151561"/>
      <w:bookmarkStart w:id="746" w:name="_Toc226965834"/>
      <w:bookmarkStart w:id="747" w:name="_Toc195842926"/>
      <w:bookmarkStart w:id="748" w:name="_Toc142311061"/>
      <w:r>
        <w:rPr>
          <w:color w:val="000000"/>
          <w:sz w:val="24"/>
          <w:szCs w:val="20"/>
        </w:rPr>
        <w:t>9 合同条款偏离表</w:t>
      </w:r>
      <w:bookmarkEnd w:id="723"/>
      <w:bookmarkEnd w:id="724"/>
      <w:bookmarkEnd w:id="725"/>
      <w:bookmarkEnd w:id="726"/>
      <w:bookmarkEnd w:id="727"/>
      <w:bookmarkEnd w:id="728"/>
      <w:bookmarkEnd w:id="729"/>
      <w:bookmarkEnd w:id="730"/>
      <w:bookmarkEnd w:id="731"/>
      <w:bookmarkEnd w:id="732"/>
      <w:bookmarkEnd w:id="733"/>
      <w:bookmarkEnd w:id="734"/>
      <w:bookmarkEnd w:id="735"/>
    </w:p>
    <w:p w14:paraId="2148005D">
      <w:pPr>
        <w:spacing w:line="360" w:lineRule="auto"/>
        <w:rPr>
          <w:color w:val="000000"/>
          <w:sz w:val="24"/>
          <w:szCs w:val="20"/>
        </w:rPr>
      </w:pPr>
    </w:p>
    <w:p w14:paraId="612B5889">
      <w:pPr>
        <w:tabs>
          <w:tab w:val="left" w:pos="2775"/>
          <w:tab w:val="center" w:pos="4153"/>
        </w:tabs>
        <w:spacing w:line="360" w:lineRule="auto"/>
        <w:jc w:val="left"/>
        <w:rPr>
          <w:b/>
          <w:color w:val="000000"/>
          <w:sz w:val="36"/>
          <w:szCs w:val="36"/>
        </w:rPr>
      </w:pPr>
      <w:r>
        <w:rPr>
          <w:color w:val="000000"/>
          <w:sz w:val="36"/>
          <w:szCs w:val="36"/>
        </w:rPr>
        <w:tab/>
      </w:r>
      <w:r>
        <w:rPr>
          <w:b/>
          <w:color w:val="000000"/>
          <w:sz w:val="36"/>
          <w:szCs w:val="36"/>
        </w:rPr>
        <w:tab/>
      </w:r>
      <w:r>
        <w:rPr>
          <w:b/>
          <w:color w:val="000000"/>
          <w:sz w:val="36"/>
          <w:szCs w:val="36"/>
        </w:rPr>
        <w:t>合同条款偏离表</w:t>
      </w:r>
    </w:p>
    <w:p w14:paraId="204CE7C3">
      <w:pPr>
        <w:spacing w:line="360" w:lineRule="auto"/>
        <w:rPr>
          <w:color w:val="000000"/>
          <w:sz w:val="24"/>
          <w:szCs w:val="20"/>
        </w:rPr>
      </w:pPr>
    </w:p>
    <w:p w14:paraId="0EB80CBF">
      <w:pPr>
        <w:tabs>
          <w:tab w:val="left" w:pos="1800"/>
          <w:tab w:val="left" w:pos="5580"/>
        </w:tabs>
        <w:spacing w:line="360" w:lineRule="auto"/>
        <w:jc w:val="left"/>
        <w:rPr>
          <w:color w:val="000000"/>
          <w:sz w:val="24"/>
        </w:rPr>
      </w:pPr>
      <w:r>
        <w:rPr>
          <w:color w:val="000000"/>
          <w:sz w:val="24"/>
        </w:rPr>
        <w:t>项目编号/包号：_____________________     项目名称：________________________</w:t>
      </w:r>
    </w:p>
    <w:tbl>
      <w:tblPr>
        <w:tblStyle w:val="30"/>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827"/>
        <w:gridCol w:w="1290"/>
        <w:gridCol w:w="1980"/>
        <w:gridCol w:w="1981"/>
        <w:gridCol w:w="2427"/>
        <w:gridCol w:w="783"/>
      </w:tblGrid>
      <w:tr w14:paraId="4E9E9B3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30" w:hRule="atLeast"/>
          <w:jc w:val="center"/>
        </w:trPr>
        <w:tc>
          <w:tcPr>
            <w:tcW w:w="9288" w:type="dxa"/>
            <w:gridSpan w:val="6"/>
            <w:noWrap w:val="0"/>
            <w:vAlign w:val="center"/>
          </w:tcPr>
          <w:p w14:paraId="529C004B">
            <w:pPr>
              <w:jc w:val="left"/>
              <w:rPr>
                <w:b/>
                <w:color w:val="000000"/>
                <w:sz w:val="24"/>
              </w:rPr>
            </w:pPr>
            <w:r>
              <w:rPr>
                <w:b/>
                <w:color w:val="000000"/>
                <w:sz w:val="24"/>
              </w:rPr>
              <w:t>对本</w:t>
            </w:r>
            <w:r>
              <w:rPr>
                <w:rFonts w:hint="eastAsia"/>
                <w:b/>
                <w:color w:val="000000"/>
                <w:sz w:val="24"/>
              </w:rPr>
              <w:t>项目</w:t>
            </w:r>
            <w:r>
              <w:rPr>
                <w:b/>
                <w:color w:val="000000"/>
                <w:sz w:val="24"/>
              </w:rPr>
              <w:t>合同条款的偏离情况（请进行勾选）：</w:t>
            </w:r>
          </w:p>
          <w:p w14:paraId="2F9982C9">
            <w:pPr>
              <w:jc w:val="left"/>
              <w:rPr>
                <w:b/>
                <w:color w:val="000000"/>
                <w:sz w:val="24"/>
              </w:rPr>
            </w:pPr>
            <w:r>
              <w:rPr>
                <w:b/>
                <w:color w:val="000000"/>
                <w:sz w:val="24"/>
              </w:rPr>
              <w:t>□无偏离</w:t>
            </w:r>
            <w:r>
              <w:rPr>
                <w:color w:val="000000"/>
                <w:sz w:val="24"/>
              </w:rPr>
              <w:t>（</w:t>
            </w:r>
            <w:r>
              <w:rPr>
                <w:color w:val="000000"/>
                <w:sz w:val="24"/>
                <w:szCs w:val="21"/>
              </w:rPr>
              <w:t>如无偏离，仅勾选无偏离即可</w:t>
            </w:r>
            <w:r>
              <w:rPr>
                <w:color w:val="000000"/>
                <w:sz w:val="24"/>
              </w:rPr>
              <w:t>）</w:t>
            </w:r>
          </w:p>
          <w:p w14:paraId="404AC576">
            <w:pPr>
              <w:jc w:val="left"/>
              <w:rPr>
                <w:color w:val="000000"/>
                <w:sz w:val="24"/>
              </w:rPr>
            </w:pPr>
            <w:r>
              <w:rPr>
                <w:b/>
                <w:color w:val="000000"/>
                <w:sz w:val="24"/>
              </w:rPr>
              <w:t>□有偏离</w:t>
            </w:r>
            <w:r>
              <w:rPr>
                <w:color w:val="000000"/>
                <w:sz w:val="24"/>
              </w:rPr>
              <w:t>（</w:t>
            </w:r>
            <w:r>
              <w:rPr>
                <w:color w:val="000000"/>
                <w:sz w:val="24"/>
                <w:szCs w:val="21"/>
              </w:rPr>
              <w:t>如有负偏离，</w:t>
            </w:r>
            <w:r>
              <w:rPr>
                <w:color w:val="000000"/>
                <w:sz w:val="24"/>
              </w:rPr>
              <w:t>则须在本表中对负偏离项逐一列明）</w:t>
            </w:r>
          </w:p>
        </w:tc>
      </w:tr>
      <w:tr w14:paraId="5F8C5FF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30" w:hRule="atLeast"/>
          <w:jc w:val="center"/>
        </w:trPr>
        <w:tc>
          <w:tcPr>
            <w:tcW w:w="834" w:type="dxa"/>
            <w:noWrap w:val="0"/>
            <w:vAlign w:val="center"/>
          </w:tcPr>
          <w:p w14:paraId="30B8FEF5">
            <w:pPr>
              <w:jc w:val="center"/>
              <w:rPr>
                <w:color w:val="000000"/>
                <w:sz w:val="24"/>
              </w:rPr>
            </w:pPr>
            <w:r>
              <w:rPr>
                <w:color w:val="000000"/>
                <w:sz w:val="24"/>
              </w:rPr>
              <w:t>序号</w:t>
            </w:r>
          </w:p>
        </w:tc>
        <w:tc>
          <w:tcPr>
            <w:tcW w:w="1301" w:type="dxa"/>
            <w:noWrap w:val="0"/>
            <w:vAlign w:val="center"/>
          </w:tcPr>
          <w:p w14:paraId="5091B26D">
            <w:pPr>
              <w:jc w:val="center"/>
              <w:rPr>
                <w:color w:val="000000"/>
                <w:sz w:val="24"/>
              </w:rPr>
            </w:pPr>
            <w:r>
              <w:rPr>
                <w:color w:val="000000"/>
                <w:sz w:val="24"/>
                <w:szCs w:val="21"/>
              </w:rPr>
              <w:t>单一来源采购文件</w:t>
            </w:r>
            <w:r>
              <w:rPr>
                <w:color w:val="000000"/>
                <w:sz w:val="24"/>
              </w:rPr>
              <w:t>条目号（页码）</w:t>
            </w:r>
          </w:p>
        </w:tc>
        <w:tc>
          <w:tcPr>
            <w:tcW w:w="2007" w:type="dxa"/>
            <w:noWrap w:val="0"/>
            <w:vAlign w:val="center"/>
          </w:tcPr>
          <w:p w14:paraId="43C9673B">
            <w:pPr>
              <w:jc w:val="center"/>
              <w:rPr>
                <w:color w:val="000000"/>
                <w:sz w:val="24"/>
              </w:rPr>
            </w:pPr>
            <w:r>
              <w:rPr>
                <w:color w:val="000000"/>
                <w:sz w:val="24"/>
                <w:szCs w:val="21"/>
              </w:rPr>
              <w:t>单一来源采购文件</w:t>
            </w:r>
            <w:r>
              <w:rPr>
                <w:color w:val="000000"/>
                <w:sz w:val="24"/>
              </w:rPr>
              <w:t>要求</w:t>
            </w:r>
          </w:p>
        </w:tc>
        <w:tc>
          <w:tcPr>
            <w:tcW w:w="2008" w:type="dxa"/>
            <w:noWrap w:val="0"/>
            <w:vAlign w:val="center"/>
          </w:tcPr>
          <w:p w14:paraId="446267B2">
            <w:pPr>
              <w:jc w:val="center"/>
              <w:rPr>
                <w:color w:val="000000"/>
                <w:sz w:val="24"/>
              </w:rPr>
            </w:pPr>
            <w:r>
              <w:rPr>
                <w:color w:val="000000"/>
                <w:sz w:val="24"/>
              </w:rPr>
              <w:t>响应内容</w:t>
            </w:r>
          </w:p>
        </w:tc>
        <w:tc>
          <w:tcPr>
            <w:tcW w:w="2458" w:type="dxa"/>
            <w:noWrap w:val="0"/>
            <w:vAlign w:val="center"/>
          </w:tcPr>
          <w:p w14:paraId="6BBDA6E6">
            <w:pPr>
              <w:jc w:val="center"/>
              <w:rPr>
                <w:color w:val="000000"/>
                <w:sz w:val="24"/>
              </w:rPr>
            </w:pPr>
            <w:r>
              <w:rPr>
                <w:color w:val="000000"/>
                <w:sz w:val="24"/>
              </w:rPr>
              <w:t>偏离情况</w:t>
            </w:r>
          </w:p>
          <w:p w14:paraId="1D55685F">
            <w:pPr>
              <w:jc w:val="center"/>
              <w:rPr>
                <w:color w:val="000000"/>
                <w:sz w:val="24"/>
              </w:rPr>
            </w:pPr>
            <w:r>
              <w:rPr>
                <w:color w:val="000000"/>
                <w:sz w:val="24"/>
              </w:rPr>
              <w:t>（据实填写）</w:t>
            </w:r>
          </w:p>
        </w:tc>
        <w:tc>
          <w:tcPr>
            <w:tcW w:w="788" w:type="dxa"/>
            <w:noWrap w:val="0"/>
            <w:vAlign w:val="center"/>
          </w:tcPr>
          <w:p w14:paraId="68E17B93">
            <w:pPr>
              <w:jc w:val="center"/>
              <w:rPr>
                <w:color w:val="000000"/>
                <w:sz w:val="24"/>
              </w:rPr>
            </w:pPr>
            <w:r>
              <w:rPr>
                <w:color w:val="000000"/>
                <w:sz w:val="24"/>
              </w:rPr>
              <w:t>说明</w:t>
            </w:r>
          </w:p>
        </w:tc>
      </w:tr>
      <w:tr w14:paraId="76A8E30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30" w:hRule="atLeast"/>
          <w:jc w:val="center"/>
        </w:trPr>
        <w:tc>
          <w:tcPr>
            <w:tcW w:w="834" w:type="dxa"/>
            <w:noWrap w:val="0"/>
            <w:vAlign w:val="center"/>
          </w:tcPr>
          <w:p w14:paraId="336A4539">
            <w:pPr>
              <w:jc w:val="center"/>
              <w:rPr>
                <w:color w:val="000000"/>
                <w:sz w:val="24"/>
              </w:rPr>
            </w:pPr>
          </w:p>
        </w:tc>
        <w:tc>
          <w:tcPr>
            <w:tcW w:w="1301" w:type="dxa"/>
            <w:noWrap w:val="0"/>
            <w:vAlign w:val="center"/>
          </w:tcPr>
          <w:p w14:paraId="2081EAD2">
            <w:pPr>
              <w:jc w:val="center"/>
              <w:rPr>
                <w:color w:val="000000"/>
                <w:sz w:val="24"/>
              </w:rPr>
            </w:pPr>
          </w:p>
        </w:tc>
        <w:tc>
          <w:tcPr>
            <w:tcW w:w="2007" w:type="dxa"/>
            <w:noWrap w:val="0"/>
            <w:vAlign w:val="center"/>
          </w:tcPr>
          <w:p w14:paraId="4D34C60E">
            <w:pPr>
              <w:jc w:val="center"/>
              <w:rPr>
                <w:color w:val="000000"/>
                <w:sz w:val="24"/>
              </w:rPr>
            </w:pPr>
          </w:p>
        </w:tc>
        <w:tc>
          <w:tcPr>
            <w:tcW w:w="2008" w:type="dxa"/>
            <w:noWrap w:val="0"/>
            <w:vAlign w:val="center"/>
          </w:tcPr>
          <w:p w14:paraId="43F47AA7">
            <w:pPr>
              <w:jc w:val="center"/>
              <w:rPr>
                <w:color w:val="000000"/>
                <w:sz w:val="24"/>
              </w:rPr>
            </w:pPr>
          </w:p>
        </w:tc>
        <w:tc>
          <w:tcPr>
            <w:tcW w:w="2458" w:type="dxa"/>
            <w:noWrap w:val="0"/>
            <w:vAlign w:val="center"/>
          </w:tcPr>
          <w:p w14:paraId="47F5BA69">
            <w:pPr>
              <w:jc w:val="center"/>
              <w:rPr>
                <w:color w:val="000000"/>
                <w:sz w:val="24"/>
              </w:rPr>
            </w:pPr>
          </w:p>
        </w:tc>
        <w:tc>
          <w:tcPr>
            <w:tcW w:w="788" w:type="dxa"/>
            <w:noWrap w:val="0"/>
            <w:vAlign w:val="center"/>
          </w:tcPr>
          <w:p w14:paraId="5F799D1D">
            <w:pPr>
              <w:jc w:val="center"/>
              <w:rPr>
                <w:color w:val="000000"/>
                <w:sz w:val="24"/>
              </w:rPr>
            </w:pPr>
          </w:p>
        </w:tc>
      </w:tr>
      <w:tr w14:paraId="5191DCE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30" w:hRule="atLeast"/>
          <w:jc w:val="center"/>
        </w:trPr>
        <w:tc>
          <w:tcPr>
            <w:tcW w:w="834" w:type="dxa"/>
            <w:noWrap w:val="0"/>
            <w:vAlign w:val="center"/>
          </w:tcPr>
          <w:p w14:paraId="6FE3F218">
            <w:pPr>
              <w:jc w:val="center"/>
              <w:rPr>
                <w:color w:val="000000"/>
                <w:sz w:val="24"/>
              </w:rPr>
            </w:pPr>
          </w:p>
        </w:tc>
        <w:tc>
          <w:tcPr>
            <w:tcW w:w="1301" w:type="dxa"/>
            <w:noWrap w:val="0"/>
            <w:vAlign w:val="center"/>
          </w:tcPr>
          <w:p w14:paraId="7F9E9CF4">
            <w:pPr>
              <w:jc w:val="center"/>
              <w:rPr>
                <w:color w:val="000000"/>
                <w:sz w:val="24"/>
              </w:rPr>
            </w:pPr>
          </w:p>
        </w:tc>
        <w:tc>
          <w:tcPr>
            <w:tcW w:w="2007" w:type="dxa"/>
            <w:noWrap w:val="0"/>
            <w:vAlign w:val="center"/>
          </w:tcPr>
          <w:p w14:paraId="3AC0D0C3">
            <w:pPr>
              <w:jc w:val="center"/>
              <w:rPr>
                <w:color w:val="000000"/>
                <w:sz w:val="24"/>
              </w:rPr>
            </w:pPr>
          </w:p>
        </w:tc>
        <w:tc>
          <w:tcPr>
            <w:tcW w:w="2008" w:type="dxa"/>
            <w:noWrap w:val="0"/>
            <w:vAlign w:val="center"/>
          </w:tcPr>
          <w:p w14:paraId="15885756">
            <w:pPr>
              <w:jc w:val="center"/>
              <w:rPr>
                <w:color w:val="000000"/>
                <w:sz w:val="24"/>
              </w:rPr>
            </w:pPr>
          </w:p>
        </w:tc>
        <w:tc>
          <w:tcPr>
            <w:tcW w:w="2458" w:type="dxa"/>
            <w:noWrap w:val="0"/>
            <w:vAlign w:val="center"/>
          </w:tcPr>
          <w:p w14:paraId="336DB100">
            <w:pPr>
              <w:jc w:val="center"/>
              <w:rPr>
                <w:color w:val="000000"/>
                <w:sz w:val="24"/>
              </w:rPr>
            </w:pPr>
          </w:p>
        </w:tc>
        <w:tc>
          <w:tcPr>
            <w:tcW w:w="788" w:type="dxa"/>
            <w:noWrap w:val="0"/>
            <w:vAlign w:val="center"/>
          </w:tcPr>
          <w:p w14:paraId="7998A6E4">
            <w:pPr>
              <w:jc w:val="center"/>
              <w:rPr>
                <w:color w:val="000000"/>
                <w:sz w:val="24"/>
              </w:rPr>
            </w:pPr>
          </w:p>
        </w:tc>
      </w:tr>
      <w:tr w14:paraId="709AEBF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30" w:hRule="atLeast"/>
          <w:jc w:val="center"/>
        </w:trPr>
        <w:tc>
          <w:tcPr>
            <w:tcW w:w="834" w:type="dxa"/>
            <w:noWrap w:val="0"/>
            <w:vAlign w:val="center"/>
          </w:tcPr>
          <w:p w14:paraId="28357C92">
            <w:pPr>
              <w:jc w:val="center"/>
              <w:rPr>
                <w:color w:val="000000"/>
                <w:sz w:val="24"/>
              </w:rPr>
            </w:pPr>
          </w:p>
        </w:tc>
        <w:tc>
          <w:tcPr>
            <w:tcW w:w="1301" w:type="dxa"/>
            <w:noWrap w:val="0"/>
            <w:vAlign w:val="center"/>
          </w:tcPr>
          <w:p w14:paraId="599763C4">
            <w:pPr>
              <w:jc w:val="center"/>
              <w:rPr>
                <w:color w:val="000000"/>
                <w:sz w:val="24"/>
              </w:rPr>
            </w:pPr>
          </w:p>
        </w:tc>
        <w:tc>
          <w:tcPr>
            <w:tcW w:w="2007" w:type="dxa"/>
            <w:noWrap w:val="0"/>
            <w:vAlign w:val="center"/>
          </w:tcPr>
          <w:p w14:paraId="533145EF">
            <w:pPr>
              <w:jc w:val="center"/>
              <w:rPr>
                <w:color w:val="000000"/>
                <w:sz w:val="24"/>
              </w:rPr>
            </w:pPr>
          </w:p>
        </w:tc>
        <w:tc>
          <w:tcPr>
            <w:tcW w:w="2008" w:type="dxa"/>
            <w:noWrap w:val="0"/>
            <w:vAlign w:val="center"/>
          </w:tcPr>
          <w:p w14:paraId="588F9057">
            <w:pPr>
              <w:jc w:val="center"/>
              <w:rPr>
                <w:color w:val="000000"/>
                <w:sz w:val="24"/>
              </w:rPr>
            </w:pPr>
          </w:p>
        </w:tc>
        <w:tc>
          <w:tcPr>
            <w:tcW w:w="2458" w:type="dxa"/>
            <w:noWrap w:val="0"/>
            <w:vAlign w:val="center"/>
          </w:tcPr>
          <w:p w14:paraId="0AE83F0E">
            <w:pPr>
              <w:jc w:val="center"/>
              <w:rPr>
                <w:color w:val="000000"/>
                <w:sz w:val="24"/>
              </w:rPr>
            </w:pPr>
          </w:p>
        </w:tc>
        <w:tc>
          <w:tcPr>
            <w:tcW w:w="788" w:type="dxa"/>
            <w:noWrap w:val="0"/>
            <w:vAlign w:val="center"/>
          </w:tcPr>
          <w:p w14:paraId="65CB5595">
            <w:pPr>
              <w:jc w:val="center"/>
              <w:rPr>
                <w:color w:val="000000"/>
                <w:sz w:val="24"/>
              </w:rPr>
            </w:pPr>
          </w:p>
        </w:tc>
      </w:tr>
      <w:tr w14:paraId="76639B5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30" w:hRule="atLeast"/>
          <w:jc w:val="center"/>
        </w:trPr>
        <w:tc>
          <w:tcPr>
            <w:tcW w:w="834" w:type="dxa"/>
            <w:noWrap w:val="0"/>
            <w:vAlign w:val="center"/>
          </w:tcPr>
          <w:p w14:paraId="09D012B1">
            <w:pPr>
              <w:jc w:val="center"/>
              <w:rPr>
                <w:color w:val="000000"/>
                <w:sz w:val="24"/>
              </w:rPr>
            </w:pPr>
          </w:p>
        </w:tc>
        <w:tc>
          <w:tcPr>
            <w:tcW w:w="1301" w:type="dxa"/>
            <w:noWrap w:val="0"/>
            <w:vAlign w:val="center"/>
          </w:tcPr>
          <w:p w14:paraId="1B127167">
            <w:pPr>
              <w:jc w:val="center"/>
              <w:rPr>
                <w:color w:val="000000"/>
                <w:sz w:val="24"/>
              </w:rPr>
            </w:pPr>
          </w:p>
        </w:tc>
        <w:tc>
          <w:tcPr>
            <w:tcW w:w="2007" w:type="dxa"/>
            <w:noWrap w:val="0"/>
            <w:vAlign w:val="center"/>
          </w:tcPr>
          <w:p w14:paraId="1266FFFB">
            <w:pPr>
              <w:jc w:val="center"/>
              <w:rPr>
                <w:color w:val="000000"/>
                <w:sz w:val="24"/>
              </w:rPr>
            </w:pPr>
          </w:p>
        </w:tc>
        <w:tc>
          <w:tcPr>
            <w:tcW w:w="2008" w:type="dxa"/>
            <w:noWrap w:val="0"/>
            <w:vAlign w:val="center"/>
          </w:tcPr>
          <w:p w14:paraId="7909013A">
            <w:pPr>
              <w:jc w:val="center"/>
              <w:rPr>
                <w:color w:val="000000"/>
                <w:sz w:val="24"/>
              </w:rPr>
            </w:pPr>
          </w:p>
        </w:tc>
        <w:tc>
          <w:tcPr>
            <w:tcW w:w="2458" w:type="dxa"/>
            <w:noWrap w:val="0"/>
            <w:vAlign w:val="center"/>
          </w:tcPr>
          <w:p w14:paraId="157119B5">
            <w:pPr>
              <w:jc w:val="center"/>
              <w:rPr>
                <w:color w:val="000000"/>
                <w:sz w:val="24"/>
              </w:rPr>
            </w:pPr>
          </w:p>
        </w:tc>
        <w:tc>
          <w:tcPr>
            <w:tcW w:w="788" w:type="dxa"/>
            <w:noWrap w:val="0"/>
            <w:vAlign w:val="center"/>
          </w:tcPr>
          <w:p w14:paraId="1259552E">
            <w:pPr>
              <w:jc w:val="center"/>
              <w:rPr>
                <w:color w:val="000000"/>
                <w:sz w:val="24"/>
              </w:rPr>
            </w:pPr>
          </w:p>
        </w:tc>
      </w:tr>
    </w:tbl>
    <w:p w14:paraId="1437D0E2">
      <w:pPr>
        <w:tabs>
          <w:tab w:val="left" w:pos="1800"/>
          <w:tab w:val="left" w:pos="5580"/>
        </w:tabs>
        <w:jc w:val="left"/>
        <w:rPr>
          <w:color w:val="000000"/>
          <w:sz w:val="24"/>
        </w:rPr>
      </w:pPr>
    </w:p>
    <w:p w14:paraId="2C098338">
      <w:pPr>
        <w:tabs>
          <w:tab w:val="left" w:pos="1800"/>
          <w:tab w:val="left" w:pos="5580"/>
        </w:tabs>
        <w:jc w:val="left"/>
        <w:rPr>
          <w:color w:val="000000"/>
          <w:sz w:val="24"/>
        </w:rPr>
      </w:pPr>
      <w:r>
        <w:rPr>
          <w:color w:val="000000"/>
          <w:sz w:val="24"/>
        </w:rPr>
        <w:t>注：</w:t>
      </w:r>
    </w:p>
    <w:p w14:paraId="016D61A0">
      <w:pPr>
        <w:tabs>
          <w:tab w:val="left" w:pos="1800"/>
          <w:tab w:val="left" w:pos="5580"/>
        </w:tabs>
        <w:jc w:val="left"/>
        <w:rPr>
          <w:sz w:val="24"/>
        </w:rPr>
      </w:pPr>
      <w:r>
        <w:rPr>
          <w:rFonts w:hint="eastAsia"/>
          <w:color w:val="000000"/>
          <w:sz w:val="24"/>
        </w:rPr>
        <w:t>1</w:t>
      </w:r>
      <w:r>
        <w:rPr>
          <w:color w:val="000000"/>
          <w:sz w:val="24"/>
        </w:rPr>
        <w:t xml:space="preserve">. </w:t>
      </w:r>
      <w:r>
        <w:rPr>
          <w:sz w:val="24"/>
        </w:rPr>
        <w:t>对合同条款中的所有要求，除本表所列明的所有偏离外，均视作供应商已对之理解和</w:t>
      </w:r>
      <w:r>
        <w:rPr>
          <w:rFonts w:hint="eastAsia"/>
          <w:sz w:val="24"/>
        </w:rPr>
        <w:t>响应</w:t>
      </w:r>
      <w:r>
        <w:rPr>
          <w:sz w:val="24"/>
        </w:rPr>
        <w:t>。</w:t>
      </w:r>
    </w:p>
    <w:p w14:paraId="3C334802">
      <w:pPr>
        <w:tabs>
          <w:tab w:val="left" w:pos="1800"/>
          <w:tab w:val="left" w:pos="5580"/>
        </w:tabs>
        <w:jc w:val="left"/>
        <w:rPr>
          <w:color w:val="000000"/>
          <w:sz w:val="24"/>
        </w:rPr>
      </w:pPr>
      <w:r>
        <w:rPr>
          <w:rFonts w:hint="eastAsia"/>
          <w:sz w:val="24"/>
        </w:rPr>
        <w:t>2</w:t>
      </w:r>
      <w:r>
        <w:rPr>
          <w:sz w:val="24"/>
        </w:rPr>
        <w:t xml:space="preserve">. </w:t>
      </w:r>
      <w:r>
        <w:rPr>
          <w:rFonts w:hint="eastAsia"/>
          <w:sz w:val="24"/>
        </w:rPr>
        <w:t>“偏离情况”列应</w:t>
      </w:r>
      <w:r>
        <w:rPr>
          <w:color w:val="000000"/>
          <w:sz w:val="24"/>
        </w:rPr>
        <w:t>据实</w:t>
      </w:r>
      <w:r>
        <w:rPr>
          <w:rFonts w:hint="eastAsia"/>
          <w:sz w:val="24"/>
        </w:rPr>
        <w:t>填写“正偏离”或“负偏离”</w:t>
      </w:r>
      <w:r>
        <w:rPr>
          <w:rFonts w:hint="eastAsia"/>
          <w:sz w:val="24"/>
          <w:lang w:val="en-US" w:eastAsia="zh-CN"/>
        </w:rPr>
        <w:t>或“无偏离”</w:t>
      </w:r>
      <w:r>
        <w:rPr>
          <w:rFonts w:hint="eastAsia"/>
          <w:sz w:val="24"/>
        </w:rPr>
        <w:t>。</w:t>
      </w:r>
    </w:p>
    <w:p w14:paraId="35CA794D">
      <w:pPr>
        <w:spacing w:line="360" w:lineRule="auto"/>
        <w:rPr>
          <w:color w:val="000000"/>
          <w:sz w:val="24"/>
          <w:szCs w:val="20"/>
        </w:rPr>
      </w:pPr>
    </w:p>
    <w:p w14:paraId="5A3A8554">
      <w:pPr>
        <w:spacing w:before="25" w:after="25" w:line="360" w:lineRule="auto"/>
        <w:rPr>
          <w:color w:val="000000"/>
          <w:sz w:val="24"/>
          <w:lang w:val="zh-CN"/>
        </w:rPr>
      </w:pPr>
      <w:r>
        <w:rPr>
          <w:color w:val="000000"/>
          <w:sz w:val="24"/>
          <w:lang w:val="zh-CN"/>
        </w:rPr>
        <w:t xml:space="preserve">                      </w:t>
      </w:r>
    </w:p>
    <w:p w14:paraId="1FE246F6">
      <w:pPr>
        <w:spacing w:before="25" w:after="25" w:line="360" w:lineRule="auto"/>
        <w:rPr>
          <w:color w:val="000000"/>
          <w:sz w:val="24"/>
          <w:lang w:val="zh-CN"/>
        </w:rPr>
      </w:pPr>
      <w:r>
        <w:rPr>
          <w:color w:val="000000"/>
          <w:sz w:val="24"/>
        </w:rPr>
        <w:t>供应商名称（加盖公章）</w:t>
      </w:r>
      <w:r>
        <w:rPr>
          <w:color w:val="000000"/>
          <w:sz w:val="24"/>
          <w:lang w:val="zh-CN"/>
        </w:rPr>
        <w:t>：    ____________</w:t>
      </w:r>
    </w:p>
    <w:p w14:paraId="77B57690">
      <w:pPr>
        <w:spacing w:before="25" w:after="25" w:line="360" w:lineRule="auto"/>
        <w:rPr>
          <w:color w:val="000000"/>
          <w:sz w:val="24"/>
          <w:lang w:val="zh-CN"/>
        </w:rPr>
      </w:pPr>
      <w:r>
        <w:rPr>
          <w:color w:val="000000"/>
          <w:sz w:val="24"/>
          <w:szCs w:val="20"/>
        </w:rPr>
        <w:t xml:space="preserve">日期：_____年______月______日   </w:t>
      </w:r>
    </w:p>
    <w:p w14:paraId="1E07764C">
      <w:pPr>
        <w:spacing w:line="360" w:lineRule="auto"/>
        <w:outlineLvl w:val="2"/>
        <w:rPr>
          <w:color w:val="000000"/>
          <w:sz w:val="24"/>
          <w:szCs w:val="20"/>
        </w:rPr>
      </w:pPr>
      <w:r>
        <w:rPr>
          <w:color w:val="000000"/>
          <w:sz w:val="24"/>
          <w:szCs w:val="20"/>
        </w:rPr>
        <w:br w:type="page" w:clear="all"/>
      </w:r>
      <w:r>
        <w:rPr>
          <w:color w:val="000000"/>
          <w:sz w:val="24"/>
          <w:szCs w:val="20"/>
        </w:rPr>
        <w:t>10</w:t>
      </w:r>
      <w:bookmarkEnd w:id="736"/>
      <w:bookmarkEnd w:id="737"/>
      <w:bookmarkEnd w:id="738"/>
      <w:bookmarkEnd w:id="739"/>
      <w:bookmarkEnd w:id="740"/>
      <w:bookmarkEnd w:id="741"/>
      <w:bookmarkEnd w:id="742"/>
      <w:bookmarkEnd w:id="743"/>
      <w:bookmarkEnd w:id="744"/>
      <w:bookmarkEnd w:id="745"/>
      <w:bookmarkEnd w:id="746"/>
      <w:bookmarkEnd w:id="747"/>
      <w:bookmarkEnd w:id="748"/>
      <w:r>
        <w:rPr>
          <w:color w:val="000000"/>
          <w:sz w:val="24"/>
          <w:szCs w:val="20"/>
        </w:rPr>
        <w:t xml:space="preserve"> 采购需求偏离表</w:t>
      </w:r>
    </w:p>
    <w:p w14:paraId="0A6A27EA">
      <w:pPr>
        <w:spacing w:line="360" w:lineRule="auto"/>
        <w:jc w:val="center"/>
        <w:rPr>
          <w:b/>
          <w:color w:val="000000"/>
          <w:sz w:val="36"/>
          <w:szCs w:val="36"/>
        </w:rPr>
      </w:pPr>
      <w:r>
        <w:rPr>
          <w:b/>
          <w:color w:val="000000"/>
          <w:sz w:val="36"/>
          <w:szCs w:val="36"/>
        </w:rPr>
        <w:t>采购需求偏离表</w:t>
      </w:r>
    </w:p>
    <w:p w14:paraId="3CD07706">
      <w:pPr>
        <w:tabs>
          <w:tab w:val="left" w:pos="1800"/>
          <w:tab w:val="left" w:pos="5580"/>
        </w:tabs>
        <w:spacing w:line="360" w:lineRule="auto"/>
        <w:ind w:firstLine="360"/>
        <w:jc w:val="left"/>
        <w:rPr>
          <w:color w:val="000000"/>
          <w:sz w:val="24"/>
          <w:u w:val="single"/>
        </w:rPr>
      </w:pPr>
      <w:r>
        <w:rPr>
          <w:color w:val="000000"/>
          <w:sz w:val="24"/>
        </w:rPr>
        <w:t>项目编号/包号：_____________________     项目名称：_______________________</w:t>
      </w:r>
    </w:p>
    <w:tbl>
      <w:tblPr>
        <w:tblStyle w:val="30"/>
        <w:tblW w:w="965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775"/>
        <w:gridCol w:w="1482"/>
        <w:gridCol w:w="2700"/>
        <w:gridCol w:w="1810"/>
        <w:gridCol w:w="1875"/>
        <w:gridCol w:w="1009"/>
      </w:tblGrid>
      <w:tr w14:paraId="26A74FD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53" w:hRule="atLeast"/>
          <w:jc w:val="center"/>
        </w:trPr>
        <w:tc>
          <w:tcPr>
            <w:tcW w:w="775" w:type="dxa"/>
            <w:noWrap w:val="0"/>
            <w:vAlign w:val="center"/>
          </w:tcPr>
          <w:p w14:paraId="60E23C70">
            <w:pPr>
              <w:jc w:val="center"/>
              <w:rPr>
                <w:color w:val="000000"/>
                <w:sz w:val="24"/>
              </w:rPr>
            </w:pPr>
            <w:r>
              <w:rPr>
                <w:color w:val="000000"/>
                <w:sz w:val="24"/>
              </w:rPr>
              <w:t>序号</w:t>
            </w:r>
          </w:p>
        </w:tc>
        <w:tc>
          <w:tcPr>
            <w:tcW w:w="1482" w:type="dxa"/>
            <w:noWrap w:val="0"/>
            <w:vAlign w:val="center"/>
          </w:tcPr>
          <w:p w14:paraId="7CC86C84">
            <w:pPr>
              <w:jc w:val="center"/>
              <w:rPr>
                <w:color w:val="000000"/>
                <w:sz w:val="24"/>
              </w:rPr>
            </w:pPr>
            <w:r>
              <w:rPr>
                <w:color w:val="000000"/>
                <w:sz w:val="24"/>
              </w:rPr>
              <w:t>单一来源采购文件条目号(页码)</w:t>
            </w:r>
          </w:p>
        </w:tc>
        <w:tc>
          <w:tcPr>
            <w:tcW w:w="2700" w:type="dxa"/>
            <w:noWrap w:val="0"/>
            <w:vAlign w:val="center"/>
          </w:tcPr>
          <w:p w14:paraId="1AB7D555">
            <w:pPr>
              <w:jc w:val="center"/>
              <w:rPr>
                <w:color w:val="000000"/>
                <w:sz w:val="24"/>
              </w:rPr>
            </w:pPr>
            <w:r>
              <w:rPr>
                <w:color w:val="000000"/>
                <w:sz w:val="24"/>
              </w:rPr>
              <w:t>单一来源采购文件要求</w:t>
            </w:r>
          </w:p>
        </w:tc>
        <w:tc>
          <w:tcPr>
            <w:tcW w:w="1810" w:type="dxa"/>
            <w:noWrap w:val="0"/>
            <w:vAlign w:val="center"/>
          </w:tcPr>
          <w:p w14:paraId="22D9DAFA">
            <w:pPr>
              <w:jc w:val="center"/>
              <w:rPr>
                <w:color w:val="000000"/>
                <w:sz w:val="24"/>
              </w:rPr>
            </w:pPr>
            <w:r>
              <w:rPr>
                <w:color w:val="000000"/>
                <w:sz w:val="24"/>
              </w:rPr>
              <w:t>响应内容</w:t>
            </w:r>
          </w:p>
        </w:tc>
        <w:tc>
          <w:tcPr>
            <w:tcW w:w="1875" w:type="dxa"/>
            <w:noWrap w:val="0"/>
            <w:vAlign w:val="center"/>
          </w:tcPr>
          <w:p w14:paraId="7BA9F8CB">
            <w:pPr>
              <w:jc w:val="center"/>
              <w:rPr>
                <w:color w:val="000000"/>
                <w:sz w:val="24"/>
              </w:rPr>
            </w:pPr>
            <w:r>
              <w:rPr>
                <w:color w:val="000000"/>
                <w:sz w:val="24"/>
              </w:rPr>
              <w:t>偏离情况</w:t>
            </w:r>
          </w:p>
          <w:p w14:paraId="30E835D4">
            <w:pPr>
              <w:jc w:val="center"/>
              <w:rPr>
                <w:color w:val="000000"/>
                <w:sz w:val="24"/>
              </w:rPr>
            </w:pPr>
            <w:r>
              <w:rPr>
                <w:color w:val="000000"/>
                <w:sz w:val="24"/>
                <w:szCs w:val="21"/>
              </w:rPr>
              <w:t>（据实填写）</w:t>
            </w:r>
          </w:p>
        </w:tc>
        <w:tc>
          <w:tcPr>
            <w:tcW w:w="1009" w:type="dxa"/>
            <w:noWrap w:val="0"/>
            <w:vAlign w:val="center"/>
          </w:tcPr>
          <w:p w14:paraId="2F6B769D">
            <w:pPr>
              <w:jc w:val="center"/>
              <w:rPr>
                <w:color w:val="000000"/>
                <w:sz w:val="24"/>
              </w:rPr>
            </w:pPr>
            <w:r>
              <w:rPr>
                <w:color w:val="000000"/>
                <w:sz w:val="24"/>
              </w:rPr>
              <w:t>说明</w:t>
            </w:r>
          </w:p>
        </w:tc>
      </w:tr>
      <w:tr w14:paraId="5F0F0BA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30" w:hRule="atLeast"/>
          <w:jc w:val="center"/>
        </w:trPr>
        <w:tc>
          <w:tcPr>
            <w:tcW w:w="775" w:type="dxa"/>
            <w:noWrap w:val="0"/>
            <w:vAlign w:val="center"/>
          </w:tcPr>
          <w:p w14:paraId="33795EA0">
            <w:pPr>
              <w:jc w:val="center"/>
              <w:rPr>
                <w:color w:val="000000"/>
                <w:sz w:val="24"/>
              </w:rPr>
            </w:pPr>
          </w:p>
        </w:tc>
        <w:tc>
          <w:tcPr>
            <w:tcW w:w="1482" w:type="dxa"/>
            <w:noWrap w:val="0"/>
            <w:vAlign w:val="center"/>
          </w:tcPr>
          <w:p w14:paraId="7C7C7D46">
            <w:pPr>
              <w:jc w:val="center"/>
              <w:rPr>
                <w:color w:val="000000"/>
                <w:sz w:val="24"/>
              </w:rPr>
            </w:pPr>
          </w:p>
        </w:tc>
        <w:tc>
          <w:tcPr>
            <w:tcW w:w="2700" w:type="dxa"/>
            <w:noWrap w:val="0"/>
            <w:vAlign w:val="center"/>
          </w:tcPr>
          <w:p w14:paraId="7F5C0AD9">
            <w:pPr>
              <w:jc w:val="center"/>
              <w:rPr>
                <w:color w:val="000000"/>
                <w:sz w:val="24"/>
              </w:rPr>
            </w:pPr>
          </w:p>
        </w:tc>
        <w:tc>
          <w:tcPr>
            <w:tcW w:w="1810" w:type="dxa"/>
            <w:noWrap w:val="0"/>
            <w:vAlign w:val="center"/>
          </w:tcPr>
          <w:p w14:paraId="02ABEBF3">
            <w:pPr>
              <w:jc w:val="center"/>
              <w:rPr>
                <w:color w:val="000000"/>
                <w:sz w:val="24"/>
              </w:rPr>
            </w:pPr>
          </w:p>
        </w:tc>
        <w:tc>
          <w:tcPr>
            <w:tcW w:w="1875" w:type="dxa"/>
            <w:noWrap w:val="0"/>
            <w:vAlign w:val="center"/>
          </w:tcPr>
          <w:p w14:paraId="734A30DB">
            <w:pPr>
              <w:jc w:val="center"/>
              <w:rPr>
                <w:color w:val="000000"/>
                <w:sz w:val="24"/>
              </w:rPr>
            </w:pPr>
          </w:p>
        </w:tc>
        <w:tc>
          <w:tcPr>
            <w:tcW w:w="1009" w:type="dxa"/>
            <w:noWrap w:val="0"/>
            <w:vAlign w:val="center"/>
          </w:tcPr>
          <w:p w14:paraId="107172A6">
            <w:pPr>
              <w:jc w:val="center"/>
              <w:rPr>
                <w:color w:val="000000"/>
                <w:sz w:val="24"/>
              </w:rPr>
            </w:pPr>
          </w:p>
        </w:tc>
      </w:tr>
      <w:tr w14:paraId="3517B88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30" w:hRule="atLeast"/>
          <w:jc w:val="center"/>
        </w:trPr>
        <w:tc>
          <w:tcPr>
            <w:tcW w:w="775" w:type="dxa"/>
            <w:noWrap w:val="0"/>
            <w:vAlign w:val="center"/>
          </w:tcPr>
          <w:p w14:paraId="252BC7AE">
            <w:pPr>
              <w:jc w:val="center"/>
              <w:rPr>
                <w:color w:val="000000"/>
                <w:sz w:val="24"/>
              </w:rPr>
            </w:pPr>
          </w:p>
        </w:tc>
        <w:tc>
          <w:tcPr>
            <w:tcW w:w="1482" w:type="dxa"/>
            <w:noWrap w:val="0"/>
            <w:vAlign w:val="center"/>
          </w:tcPr>
          <w:p w14:paraId="368DC577">
            <w:pPr>
              <w:jc w:val="center"/>
              <w:rPr>
                <w:color w:val="000000"/>
                <w:sz w:val="24"/>
              </w:rPr>
            </w:pPr>
          </w:p>
        </w:tc>
        <w:tc>
          <w:tcPr>
            <w:tcW w:w="2700" w:type="dxa"/>
            <w:noWrap w:val="0"/>
            <w:vAlign w:val="center"/>
          </w:tcPr>
          <w:p w14:paraId="750D17AD">
            <w:pPr>
              <w:jc w:val="center"/>
              <w:rPr>
                <w:color w:val="000000"/>
                <w:sz w:val="24"/>
              </w:rPr>
            </w:pPr>
          </w:p>
        </w:tc>
        <w:tc>
          <w:tcPr>
            <w:tcW w:w="1810" w:type="dxa"/>
            <w:noWrap w:val="0"/>
            <w:vAlign w:val="center"/>
          </w:tcPr>
          <w:p w14:paraId="2DC7DE4F">
            <w:pPr>
              <w:jc w:val="center"/>
              <w:rPr>
                <w:color w:val="000000"/>
                <w:sz w:val="24"/>
              </w:rPr>
            </w:pPr>
          </w:p>
        </w:tc>
        <w:tc>
          <w:tcPr>
            <w:tcW w:w="1875" w:type="dxa"/>
            <w:noWrap w:val="0"/>
            <w:vAlign w:val="center"/>
          </w:tcPr>
          <w:p w14:paraId="7680209C">
            <w:pPr>
              <w:jc w:val="center"/>
              <w:rPr>
                <w:color w:val="000000"/>
                <w:sz w:val="24"/>
              </w:rPr>
            </w:pPr>
          </w:p>
        </w:tc>
        <w:tc>
          <w:tcPr>
            <w:tcW w:w="1009" w:type="dxa"/>
            <w:noWrap w:val="0"/>
            <w:vAlign w:val="center"/>
          </w:tcPr>
          <w:p w14:paraId="1DCA59FB">
            <w:pPr>
              <w:jc w:val="center"/>
              <w:rPr>
                <w:color w:val="000000"/>
                <w:sz w:val="24"/>
              </w:rPr>
            </w:pPr>
          </w:p>
        </w:tc>
      </w:tr>
      <w:tr w14:paraId="5327D7A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30" w:hRule="atLeast"/>
          <w:jc w:val="center"/>
        </w:trPr>
        <w:tc>
          <w:tcPr>
            <w:tcW w:w="775" w:type="dxa"/>
            <w:noWrap w:val="0"/>
            <w:vAlign w:val="center"/>
          </w:tcPr>
          <w:p w14:paraId="1DFBCA58">
            <w:pPr>
              <w:jc w:val="center"/>
              <w:rPr>
                <w:color w:val="000000"/>
                <w:sz w:val="24"/>
              </w:rPr>
            </w:pPr>
          </w:p>
        </w:tc>
        <w:tc>
          <w:tcPr>
            <w:tcW w:w="1482" w:type="dxa"/>
            <w:noWrap w:val="0"/>
            <w:vAlign w:val="center"/>
          </w:tcPr>
          <w:p w14:paraId="38C945BE">
            <w:pPr>
              <w:jc w:val="center"/>
              <w:rPr>
                <w:color w:val="000000"/>
                <w:sz w:val="24"/>
              </w:rPr>
            </w:pPr>
          </w:p>
        </w:tc>
        <w:tc>
          <w:tcPr>
            <w:tcW w:w="2700" w:type="dxa"/>
            <w:noWrap w:val="0"/>
            <w:vAlign w:val="center"/>
          </w:tcPr>
          <w:p w14:paraId="4D5ABAD3">
            <w:pPr>
              <w:jc w:val="center"/>
              <w:rPr>
                <w:color w:val="000000"/>
                <w:sz w:val="24"/>
              </w:rPr>
            </w:pPr>
          </w:p>
        </w:tc>
        <w:tc>
          <w:tcPr>
            <w:tcW w:w="1810" w:type="dxa"/>
            <w:noWrap w:val="0"/>
            <w:vAlign w:val="center"/>
          </w:tcPr>
          <w:p w14:paraId="44127675">
            <w:pPr>
              <w:jc w:val="center"/>
              <w:rPr>
                <w:color w:val="000000"/>
                <w:sz w:val="24"/>
              </w:rPr>
            </w:pPr>
          </w:p>
        </w:tc>
        <w:tc>
          <w:tcPr>
            <w:tcW w:w="1875" w:type="dxa"/>
            <w:noWrap w:val="0"/>
            <w:vAlign w:val="center"/>
          </w:tcPr>
          <w:p w14:paraId="3B5A5503">
            <w:pPr>
              <w:jc w:val="center"/>
              <w:rPr>
                <w:color w:val="000000"/>
                <w:sz w:val="24"/>
              </w:rPr>
            </w:pPr>
          </w:p>
        </w:tc>
        <w:tc>
          <w:tcPr>
            <w:tcW w:w="1009" w:type="dxa"/>
            <w:noWrap w:val="0"/>
            <w:vAlign w:val="center"/>
          </w:tcPr>
          <w:p w14:paraId="064056E0">
            <w:pPr>
              <w:jc w:val="center"/>
              <w:rPr>
                <w:color w:val="000000"/>
                <w:sz w:val="24"/>
              </w:rPr>
            </w:pPr>
          </w:p>
        </w:tc>
      </w:tr>
      <w:tr w14:paraId="45A529C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30" w:hRule="atLeast"/>
          <w:jc w:val="center"/>
        </w:trPr>
        <w:tc>
          <w:tcPr>
            <w:tcW w:w="775" w:type="dxa"/>
            <w:noWrap w:val="0"/>
            <w:vAlign w:val="center"/>
          </w:tcPr>
          <w:p w14:paraId="554DCB7D">
            <w:pPr>
              <w:jc w:val="center"/>
              <w:rPr>
                <w:color w:val="000000"/>
                <w:sz w:val="24"/>
              </w:rPr>
            </w:pPr>
          </w:p>
        </w:tc>
        <w:tc>
          <w:tcPr>
            <w:tcW w:w="1482" w:type="dxa"/>
            <w:noWrap w:val="0"/>
            <w:vAlign w:val="center"/>
          </w:tcPr>
          <w:p w14:paraId="7BC1968B">
            <w:pPr>
              <w:jc w:val="center"/>
              <w:rPr>
                <w:color w:val="000000"/>
                <w:sz w:val="24"/>
              </w:rPr>
            </w:pPr>
          </w:p>
        </w:tc>
        <w:tc>
          <w:tcPr>
            <w:tcW w:w="2700" w:type="dxa"/>
            <w:noWrap w:val="0"/>
            <w:vAlign w:val="center"/>
          </w:tcPr>
          <w:p w14:paraId="089B43F2">
            <w:pPr>
              <w:jc w:val="center"/>
              <w:rPr>
                <w:color w:val="000000"/>
                <w:sz w:val="24"/>
              </w:rPr>
            </w:pPr>
          </w:p>
        </w:tc>
        <w:tc>
          <w:tcPr>
            <w:tcW w:w="1810" w:type="dxa"/>
            <w:noWrap w:val="0"/>
            <w:vAlign w:val="center"/>
          </w:tcPr>
          <w:p w14:paraId="58FA79D3">
            <w:pPr>
              <w:jc w:val="center"/>
              <w:rPr>
                <w:color w:val="000000"/>
                <w:sz w:val="24"/>
              </w:rPr>
            </w:pPr>
          </w:p>
        </w:tc>
        <w:tc>
          <w:tcPr>
            <w:tcW w:w="1875" w:type="dxa"/>
            <w:noWrap w:val="0"/>
            <w:vAlign w:val="center"/>
          </w:tcPr>
          <w:p w14:paraId="1C941F91">
            <w:pPr>
              <w:jc w:val="center"/>
              <w:rPr>
                <w:color w:val="000000"/>
                <w:sz w:val="24"/>
              </w:rPr>
            </w:pPr>
          </w:p>
        </w:tc>
        <w:tc>
          <w:tcPr>
            <w:tcW w:w="1009" w:type="dxa"/>
            <w:noWrap w:val="0"/>
            <w:vAlign w:val="center"/>
          </w:tcPr>
          <w:p w14:paraId="31F8E7A7">
            <w:pPr>
              <w:jc w:val="center"/>
              <w:rPr>
                <w:color w:val="000000"/>
                <w:sz w:val="24"/>
              </w:rPr>
            </w:pPr>
          </w:p>
        </w:tc>
      </w:tr>
      <w:tr w14:paraId="4902789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30" w:hRule="atLeast"/>
          <w:jc w:val="center"/>
        </w:trPr>
        <w:tc>
          <w:tcPr>
            <w:tcW w:w="775" w:type="dxa"/>
            <w:noWrap w:val="0"/>
            <w:vAlign w:val="center"/>
          </w:tcPr>
          <w:p w14:paraId="4B89EC3C">
            <w:pPr>
              <w:jc w:val="center"/>
              <w:rPr>
                <w:color w:val="000000"/>
                <w:sz w:val="24"/>
              </w:rPr>
            </w:pPr>
          </w:p>
        </w:tc>
        <w:tc>
          <w:tcPr>
            <w:tcW w:w="1482" w:type="dxa"/>
            <w:noWrap w:val="0"/>
            <w:vAlign w:val="center"/>
          </w:tcPr>
          <w:p w14:paraId="35C8DC6A">
            <w:pPr>
              <w:jc w:val="center"/>
              <w:rPr>
                <w:color w:val="000000"/>
                <w:sz w:val="24"/>
              </w:rPr>
            </w:pPr>
          </w:p>
        </w:tc>
        <w:tc>
          <w:tcPr>
            <w:tcW w:w="2700" w:type="dxa"/>
            <w:noWrap w:val="0"/>
            <w:vAlign w:val="center"/>
          </w:tcPr>
          <w:p w14:paraId="315EA8A4">
            <w:pPr>
              <w:jc w:val="center"/>
              <w:rPr>
                <w:color w:val="000000"/>
                <w:sz w:val="24"/>
              </w:rPr>
            </w:pPr>
          </w:p>
        </w:tc>
        <w:tc>
          <w:tcPr>
            <w:tcW w:w="1810" w:type="dxa"/>
            <w:noWrap w:val="0"/>
            <w:vAlign w:val="center"/>
          </w:tcPr>
          <w:p w14:paraId="73A65DE7">
            <w:pPr>
              <w:jc w:val="center"/>
              <w:rPr>
                <w:color w:val="000000"/>
                <w:sz w:val="24"/>
              </w:rPr>
            </w:pPr>
          </w:p>
        </w:tc>
        <w:tc>
          <w:tcPr>
            <w:tcW w:w="1875" w:type="dxa"/>
            <w:noWrap w:val="0"/>
            <w:vAlign w:val="center"/>
          </w:tcPr>
          <w:p w14:paraId="79672367">
            <w:pPr>
              <w:jc w:val="center"/>
              <w:rPr>
                <w:color w:val="000000"/>
                <w:sz w:val="24"/>
              </w:rPr>
            </w:pPr>
          </w:p>
        </w:tc>
        <w:tc>
          <w:tcPr>
            <w:tcW w:w="1009" w:type="dxa"/>
            <w:noWrap w:val="0"/>
            <w:vAlign w:val="center"/>
          </w:tcPr>
          <w:p w14:paraId="3A10ADAD">
            <w:pPr>
              <w:jc w:val="center"/>
              <w:rPr>
                <w:color w:val="000000"/>
                <w:sz w:val="24"/>
              </w:rPr>
            </w:pPr>
          </w:p>
        </w:tc>
      </w:tr>
      <w:tr w14:paraId="61EEF0B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30" w:hRule="atLeast"/>
          <w:jc w:val="center"/>
        </w:trPr>
        <w:tc>
          <w:tcPr>
            <w:tcW w:w="775" w:type="dxa"/>
            <w:noWrap w:val="0"/>
            <w:vAlign w:val="center"/>
          </w:tcPr>
          <w:p w14:paraId="71B5FD3D">
            <w:pPr>
              <w:jc w:val="center"/>
              <w:rPr>
                <w:color w:val="000000"/>
                <w:sz w:val="24"/>
              </w:rPr>
            </w:pPr>
          </w:p>
        </w:tc>
        <w:tc>
          <w:tcPr>
            <w:tcW w:w="1482" w:type="dxa"/>
            <w:noWrap w:val="0"/>
            <w:vAlign w:val="center"/>
          </w:tcPr>
          <w:p w14:paraId="04EF05F6">
            <w:pPr>
              <w:jc w:val="center"/>
              <w:rPr>
                <w:color w:val="000000"/>
                <w:sz w:val="24"/>
              </w:rPr>
            </w:pPr>
          </w:p>
        </w:tc>
        <w:tc>
          <w:tcPr>
            <w:tcW w:w="2700" w:type="dxa"/>
            <w:noWrap w:val="0"/>
            <w:vAlign w:val="center"/>
          </w:tcPr>
          <w:p w14:paraId="538A3BBF">
            <w:pPr>
              <w:jc w:val="center"/>
              <w:rPr>
                <w:color w:val="000000"/>
                <w:sz w:val="24"/>
              </w:rPr>
            </w:pPr>
          </w:p>
        </w:tc>
        <w:tc>
          <w:tcPr>
            <w:tcW w:w="1810" w:type="dxa"/>
            <w:noWrap w:val="0"/>
            <w:vAlign w:val="center"/>
          </w:tcPr>
          <w:p w14:paraId="26C58053">
            <w:pPr>
              <w:jc w:val="center"/>
              <w:rPr>
                <w:color w:val="000000"/>
                <w:sz w:val="24"/>
              </w:rPr>
            </w:pPr>
          </w:p>
        </w:tc>
        <w:tc>
          <w:tcPr>
            <w:tcW w:w="1875" w:type="dxa"/>
            <w:noWrap w:val="0"/>
            <w:vAlign w:val="center"/>
          </w:tcPr>
          <w:p w14:paraId="6504A833">
            <w:pPr>
              <w:jc w:val="center"/>
              <w:rPr>
                <w:color w:val="000000"/>
                <w:sz w:val="24"/>
              </w:rPr>
            </w:pPr>
          </w:p>
        </w:tc>
        <w:tc>
          <w:tcPr>
            <w:tcW w:w="1009" w:type="dxa"/>
            <w:noWrap w:val="0"/>
            <w:vAlign w:val="center"/>
          </w:tcPr>
          <w:p w14:paraId="5B71CBA2">
            <w:pPr>
              <w:jc w:val="center"/>
              <w:rPr>
                <w:color w:val="000000"/>
                <w:sz w:val="24"/>
              </w:rPr>
            </w:pPr>
          </w:p>
        </w:tc>
      </w:tr>
    </w:tbl>
    <w:p w14:paraId="21148BD4">
      <w:pPr>
        <w:tabs>
          <w:tab w:val="left" w:pos="1800"/>
          <w:tab w:val="left" w:pos="5580"/>
        </w:tabs>
        <w:spacing w:line="360" w:lineRule="auto"/>
        <w:ind w:firstLine="360"/>
        <w:jc w:val="left"/>
        <w:rPr>
          <w:color w:val="000000"/>
          <w:sz w:val="24"/>
          <w:u w:val="single"/>
        </w:rPr>
      </w:pPr>
    </w:p>
    <w:p w14:paraId="59049661">
      <w:pPr>
        <w:tabs>
          <w:tab w:val="left" w:pos="1800"/>
          <w:tab w:val="left" w:pos="5580"/>
        </w:tabs>
        <w:spacing w:line="360" w:lineRule="auto"/>
        <w:ind w:firstLine="360"/>
        <w:jc w:val="left"/>
        <w:rPr>
          <w:color w:val="000000"/>
          <w:sz w:val="24"/>
          <w:u w:val="single"/>
        </w:rPr>
      </w:pPr>
    </w:p>
    <w:p w14:paraId="1A5DD19D">
      <w:pPr>
        <w:tabs>
          <w:tab w:val="left" w:pos="1800"/>
          <w:tab w:val="left" w:pos="5580"/>
        </w:tabs>
        <w:jc w:val="left"/>
        <w:rPr>
          <w:color w:val="000000"/>
          <w:sz w:val="24"/>
        </w:rPr>
      </w:pPr>
      <w:r>
        <w:rPr>
          <w:color w:val="000000"/>
          <w:sz w:val="24"/>
        </w:rPr>
        <w:t>注：</w:t>
      </w:r>
    </w:p>
    <w:p w14:paraId="75666497">
      <w:pPr>
        <w:tabs>
          <w:tab w:val="left" w:pos="1800"/>
          <w:tab w:val="left" w:pos="5580"/>
        </w:tabs>
        <w:jc w:val="left"/>
        <w:rPr>
          <w:sz w:val="24"/>
        </w:rPr>
      </w:pPr>
      <w:r>
        <w:rPr>
          <w:rFonts w:hint="eastAsia"/>
          <w:color w:val="000000"/>
          <w:sz w:val="24"/>
        </w:rPr>
        <w:t>1</w:t>
      </w:r>
      <w:r>
        <w:rPr>
          <w:color w:val="000000"/>
          <w:sz w:val="24"/>
        </w:rPr>
        <w:t xml:space="preserve">. </w:t>
      </w:r>
      <w:r>
        <w:rPr>
          <w:sz w:val="24"/>
        </w:rPr>
        <w:t>对单一来源采购文件中的所有商务、技术要求，除本表所列明的所有偏离外，均视作供应商已对之理解和响应。此表中若无任何文字说明，内容为空白，则</w:t>
      </w:r>
      <w:r>
        <w:rPr>
          <w:b/>
          <w:sz w:val="24"/>
        </w:rPr>
        <w:t>响应无效</w:t>
      </w:r>
      <w:r>
        <w:rPr>
          <w:sz w:val="24"/>
        </w:rPr>
        <w:t>。</w:t>
      </w:r>
    </w:p>
    <w:p w14:paraId="16D7B9E1">
      <w:pPr>
        <w:tabs>
          <w:tab w:val="left" w:pos="1800"/>
          <w:tab w:val="left" w:pos="5580"/>
        </w:tabs>
        <w:jc w:val="left"/>
        <w:rPr>
          <w:color w:val="000000"/>
          <w:sz w:val="24"/>
        </w:rPr>
      </w:pPr>
      <w:r>
        <w:rPr>
          <w:sz w:val="24"/>
        </w:rPr>
        <w:t>2.</w:t>
      </w:r>
      <w:r>
        <w:rPr>
          <w:rFonts w:hint="eastAsia"/>
          <w:sz w:val="24"/>
        </w:rPr>
        <w:t>“偏离情况”列应据实填写“正偏离”或“无偏离”或“负偏离”。</w:t>
      </w:r>
    </w:p>
    <w:p w14:paraId="6D1939DD">
      <w:pPr>
        <w:tabs>
          <w:tab w:val="left" w:pos="1800"/>
          <w:tab w:val="left" w:pos="5580"/>
        </w:tabs>
        <w:jc w:val="left"/>
        <w:rPr>
          <w:color w:val="000000"/>
          <w:sz w:val="24"/>
        </w:rPr>
      </w:pPr>
    </w:p>
    <w:p w14:paraId="31416413">
      <w:pPr>
        <w:rPr>
          <w:color w:val="000000"/>
          <w:sz w:val="24"/>
          <w:szCs w:val="20"/>
        </w:rPr>
      </w:pPr>
    </w:p>
    <w:p w14:paraId="42B81FD2">
      <w:pPr>
        <w:spacing w:before="25" w:after="25" w:line="360" w:lineRule="auto"/>
        <w:rPr>
          <w:color w:val="000000"/>
          <w:sz w:val="24"/>
          <w:lang w:val="zh-CN"/>
        </w:rPr>
      </w:pPr>
      <w:r>
        <w:rPr>
          <w:color w:val="000000"/>
          <w:sz w:val="24"/>
          <w:lang w:val="zh-CN"/>
        </w:rPr>
        <w:t xml:space="preserve">                  </w:t>
      </w:r>
    </w:p>
    <w:p w14:paraId="64855626">
      <w:pPr>
        <w:spacing w:before="25" w:after="25" w:line="360" w:lineRule="auto"/>
        <w:rPr>
          <w:color w:val="000000"/>
          <w:sz w:val="24"/>
          <w:lang w:val="zh-CN"/>
        </w:rPr>
      </w:pPr>
      <w:r>
        <w:rPr>
          <w:color w:val="000000"/>
          <w:sz w:val="24"/>
        </w:rPr>
        <w:t>供应商名称（加盖公章）</w:t>
      </w:r>
      <w:r>
        <w:rPr>
          <w:color w:val="000000"/>
          <w:sz w:val="24"/>
          <w:lang w:val="zh-CN"/>
        </w:rPr>
        <w:t>： ____________</w:t>
      </w:r>
    </w:p>
    <w:p w14:paraId="5C9622A1">
      <w:pPr>
        <w:spacing w:before="25" w:after="25" w:line="360" w:lineRule="auto"/>
        <w:rPr>
          <w:color w:val="000000"/>
          <w:sz w:val="24"/>
        </w:rPr>
      </w:pPr>
      <w:r>
        <w:rPr>
          <w:color w:val="000000"/>
          <w:sz w:val="24"/>
          <w:szCs w:val="20"/>
        </w:rPr>
        <w:t xml:space="preserve">日期：_____年______月______日   </w:t>
      </w:r>
    </w:p>
    <w:p w14:paraId="63C076B2">
      <w:pPr>
        <w:spacing w:line="360" w:lineRule="auto"/>
        <w:outlineLvl w:val="2"/>
        <w:rPr>
          <w:color w:val="000000"/>
          <w:sz w:val="24"/>
          <w:szCs w:val="20"/>
        </w:rPr>
      </w:pPr>
      <w:r>
        <w:rPr>
          <w:color w:val="000000"/>
          <w:sz w:val="24"/>
          <w:szCs w:val="20"/>
        </w:rPr>
        <w:br w:type="page" w:clear="all"/>
      </w:r>
    </w:p>
    <w:p w14:paraId="19FDF6CE">
      <w:pPr>
        <w:widowControl/>
        <w:jc w:val="left"/>
        <w:rPr>
          <w:color w:val="000000"/>
          <w:sz w:val="24"/>
          <w:szCs w:val="20"/>
        </w:rPr>
      </w:pPr>
    </w:p>
    <w:p w14:paraId="4C0052A7">
      <w:pPr>
        <w:spacing w:line="360" w:lineRule="auto"/>
        <w:outlineLvl w:val="2"/>
        <w:rPr>
          <w:color w:val="000000"/>
          <w:sz w:val="24"/>
          <w:szCs w:val="20"/>
        </w:rPr>
      </w:pPr>
      <w:r>
        <w:rPr>
          <w:rFonts w:hint="eastAsia"/>
          <w:color w:val="000000"/>
          <w:sz w:val="24"/>
          <w:szCs w:val="20"/>
          <w:lang w:val="en-US" w:eastAsia="zh-CN"/>
        </w:rPr>
        <w:t>11</w:t>
      </w:r>
      <w:r>
        <w:rPr>
          <w:color w:val="000000"/>
          <w:sz w:val="24"/>
          <w:szCs w:val="20"/>
        </w:rPr>
        <w:t>单一来源采购文件要求提供或供应商认为应附的其他材料</w:t>
      </w:r>
    </w:p>
    <w:sectPr>
      <w:headerReference r:id="rId16" w:type="first"/>
      <w:footerReference r:id="rId18" w:type="first"/>
      <w:headerReference r:id="rId15" w:type="even"/>
      <w:footerReference r:id="rId17" w:type="even"/>
      <w:pgSz w:w="11907" w:h="16840"/>
      <w:pgMar w:top="1418" w:right="1134" w:bottom="1418" w:left="1701" w:header="851" w:footer="851" w:gutter="0"/>
      <w:cols w:space="1701"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AFF" w:usb1="C0007841"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华文中宋">
    <w:panose1 w:val="02010600040101010101"/>
    <w:charset w:val="86"/>
    <w:family w:val="auto"/>
    <w:pitch w:val="default"/>
    <w:sig w:usb0="00000287" w:usb1="080F0000" w:usb2="00000000" w:usb3="00000000" w:csb0="0004009F" w:csb1="DFD70000"/>
  </w:font>
  <w:font w:name="仿宋_GB2312">
    <w:altName w:val="仿宋"/>
    <w:panose1 w:val="02010609060101010101"/>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 w:name="ˎ̥">
    <w:altName w:val="DejaVu Math TeX Gyre"/>
    <w:panose1 w:val="020B0503020202020204"/>
    <w:charset w:val="00"/>
    <w:family w:val="auto"/>
    <w:pitch w:val="default"/>
    <w:sig w:usb0="00000000" w:usb1="00000000" w:usb2="00000000" w:usb3="00000000" w:csb0="00000000" w:csb1="00000000"/>
  </w:font>
  <w:font w:name="DejaVu Math TeX Gyre">
    <w:panose1 w:val="02000503000000000000"/>
    <w:charset w:val="00"/>
    <w:family w:val="auto"/>
    <w:pitch w:val="default"/>
    <w:sig w:usb0="A10000EF" w:usb1="4201F9EE" w:usb2="02000000" w:usb3="00000000" w:csb0="60000193" w:csb1="0DD40000"/>
  </w:font>
  <w:font w:name="Arial Unicode MS">
    <w:panose1 w:val="020B0604020202020204"/>
    <w:charset w:val="86"/>
    <w:family w:val="auto"/>
    <w:pitch w:val="default"/>
    <w:sig w:usb0="FFFFFFFF" w:usb1="E9FFFFFF" w:usb2="0000003F" w:usb3="00000000" w:csb0="603F01FF" w:csb1="FFFF0000"/>
  </w:font>
  <w:font w:name="Tahoma">
    <w:panose1 w:val="020B0604030504040204"/>
    <w:charset w:val="00"/>
    <w:family w:val="auto"/>
    <w:pitch w:val="default"/>
    <w:sig w:usb0="E1002EFF" w:usb1="C000605B" w:usb2="00000029" w:usb3="00000000" w:csb0="200101FF" w:csb1="20280000"/>
  </w:font>
  <w:font w:name="Verdana">
    <w:panose1 w:val="020B0604030504040204"/>
    <w:charset w:val="00"/>
    <w:family w:val="auto"/>
    <w:pitch w:val="default"/>
    <w:sig w:usb0="A10006FF" w:usb1="4000205B" w:usb2="00000010" w:usb3="00000000" w:csb0="2000019F" w:csb1="00000000"/>
  </w:font>
  <w:font w:name="楷体_GB2312">
    <w:altName w:val="楷体"/>
    <w:panose1 w:val="02010609060101010101"/>
    <w:charset w:val="00"/>
    <w:family w:val="auto"/>
    <w:pitch w:val="default"/>
    <w:sig w:usb0="00000000" w:usb1="00000000" w:usb2="00000000" w:usb3="00000000" w:csb0="00000000" w:csb1="00000000"/>
  </w:font>
  <w:font w:name="楷体">
    <w:panose1 w:val="02010609060101010101"/>
    <w:charset w:val="86"/>
    <w:family w:val="auto"/>
    <w:pitch w:val="default"/>
    <w:sig w:usb0="800002BF" w:usb1="38CF7CFA" w:usb2="00000016" w:usb3="00000000" w:csb0="00040001" w:csb1="00000000"/>
  </w:font>
  <w:font w:name="Century Gothic">
    <w:panose1 w:val="020B0502020202020204"/>
    <w:charset w:val="00"/>
    <w:family w:val="auto"/>
    <w:pitch w:val="default"/>
    <w:sig w:usb0="00000287" w:usb1="00000000" w:usb2="00000000" w:usb3="00000000" w:csb0="2000009F" w:csb1="DFD70000"/>
  </w:font>
  <w:font w:name="微软雅黑">
    <w:panose1 w:val="020B0503020204020204"/>
    <w:charset w:val="86"/>
    <w:family w:val="auto"/>
    <w:pitch w:val="default"/>
    <w:sig w:usb0="80000287" w:usb1="280F3C52" w:usb2="00000016" w:usb3="00000000" w:csb0="0004001F" w:csb1="00000000"/>
  </w:font>
  <w:font w:name="CESI黑体-GB2312">
    <w:altName w:val="黑体"/>
    <w:panose1 w:val="020B0503020202020204"/>
    <w:charset w:val="00"/>
    <w:family w:val="auto"/>
    <w:pitch w:val="default"/>
    <w:sig w:usb0="00000000" w:usb1="00000000" w:usb2="00000000" w:usb3="00000000" w:csb0="00000000" w:csb1="00000000"/>
  </w:font>
  <w:font w:name="方正仿宋_GBK">
    <w:altName w:val="微软雅黑"/>
    <w:panose1 w:val="020B0503020202020204"/>
    <w:charset w:val="00"/>
    <w:family w:val="auto"/>
    <w:pitch w:val="default"/>
    <w:sig w:usb0="00000000" w:usb1="00000000" w:usb2="00000000" w:usb3="00000000" w:csb0="00000000" w:csb1="00000000"/>
  </w:font>
  <w:font w:name="Segoe UI Symbol">
    <w:panose1 w:val="020B0502040204020203"/>
    <w:charset w:val="00"/>
    <w:family w:val="auto"/>
    <w:pitch w:val="default"/>
    <w:sig w:usb0="8000006F" w:usb1="1200FBEF" w:usb2="0064C000" w:usb3="00000002" w:csb0="00000001" w:csb1="4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21CDC4A">
    <w:pPr>
      <w:pStyle w:val="233"/>
      <w:framePr w:wrap="around" w:vAnchor="text" w:hAnchor="margin" w:xAlign="center" w:y="1"/>
      <w:rPr>
        <w:rStyle w:val="258"/>
      </w:rPr>
    </w:pPr>
    <w:r>
      <w:fldChar w:fldCharType="begin"/>
    </w:r>
    <w:r>
      <w:rPr>
        <w:rStyle w:val="258"/>
      </w:rPr>
      <w:instrText xml:space="preserve">PAGE  </w:instrText>
    </w:r>
    <w:r>
      <w:fldChar w:fldCharType="end"/>
    </w:r>
  </w:p>
  <w:p w14:paraId="135E6237">
    <w:pPr>
      <w:pStyle w:val="233"/>
      <w:ind w:right="360" w:firstLine="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E98B160">
    <w:pPr>
      <w:pStyle w:val="233"/>
      <w:framePr w:wrap="around" w:vAnchor="text" w:hAnchor="margin" w:xAlign="right" w:y="1"/>
      <w:rPr>
        <w:rStyle w:val="258"/>
      </w:rPr>
    </w:pPr>
  </w:p>
  <w:p w14:paraId="30B18521">
    <w:pPr>
      <w:pStyle w:val="233"/>
      <w:ind w:right="360"/>
      <w:jc w:val="right"/>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E664031">
    <w:pPr>
      <w:pStyle w:val="233"/>
      <w:rPr>
        <w:rFonts w:ascii="Times New Roman"/>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8AC4E9F">
    <w:pPr>
      <w:pStyle w:val="233"/>
      <w:framePr w:wrap="around" w:vAnchor="text" w:hAnchor="margin" w:xAlign="right" w:y="1"/>
      <w:rPr>
        <w:rStyle w:val="258"/>
      </w:rPr>
    </w:pPr>
    <w:r>
      <w:rPr>
        <w:rStyle w:val="258"/>
      </w:rPr>
      <w:fldChar w:fldCharType="begin"/>
    </w:r>
    <w:r>
      <w:rPr>
        <w:rStyle w:val="258"/>
      </w:rPr>
      <w:instrText xml:space="preserve">PAGE  </w:instrText>
    </w:r>
    <w:r>
      <w:rPr>
        <w:rStyle w:val="258"/>
      </w:rPr>
      <w:fldChar w:fldCharType="end"/>
    </w:r>
  </w:p>
  <w:p w14:paraId="1C5CF94A">
    <w:pPr>
      <w:pStyle w:val="233"/>
      <w:ind w:right="360"/>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18E343B">
    <w:pPr>
      <w:pStyle w:val="233"/>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C949973">
    <w:pPr>
      <w:jc w:val="center"/>
      <w:rPr>
        <w:rFonts w:ascii="Times New Roman" w:hAnsi="Times New Roman" w:eastAsia="仿宋_GB2312" w:cs="Times New Roman"/>
        <w:sz w:val="24"/>
        <w:lang w:val="en-US" w:eastAsia="zh-CN" w:bidi="ar-SA"/>
      </w:rPr>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EE6D285">
    <w:pPr>
      <w:pStyle w:val="233"/>
      <w:framePr w:wrap="around" w:vAnchor="text" w:hAnchor="margin" w:xAlign="right" w:y="1"/>
      <w:rPr>
        <w:rStyle w:val="258"/>
      </w:rPr>
    </w:pPr>
    <w:r>
      <w:rPr>
        <w:rStyle w:val="258"/>
      </w:rPr>
      <w:fldChar w:fldCharType="begin"/>
    </w:r>
    <w:r>
      <w:rPr>
        <w:rStyle w:val="258"/>
      </w:rPr>
      <w:instrText xml:space="preserve">PAGE  </w:instrText>
    </w:r>
    <w:r>
      <w:rPr>
        <w:rStyle w:val="258"/>
      </w:rPr>
      <w:fldChar w:fldCharType="end"/>
    </w:r>
  </w:p>
  <w:p w14:paraId="6D091433">
    <w:pPr>
      <w:pStyle w:val="233"/>
      <w:ind w:right="360"/>
    </w:pPr>
  </w:p>
  <w:p w14:paraId="76822AB8"/>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117C47B">
    <w:pPr>
      <w:pStyle w:val="233"/>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F73176E">
    <w:pPr>
      <w:pStyle w:val="235"/>
      <w:jc w:val="right"/>
    </w:pPr>
    <w:r>
      <w:rPr>
        <w:rFonts w:hint="eastAsia"/>
      </w:rPr>
      <w:t xml:space="preserve">常州市政府采购项目单一来源采购文件示范文本                                                                </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8C9283B">
    <w:pPr>
      <w:pStyle w:val="235"/>
      <w:pBdr>
        <w:bottom w:val="none" w:color="000000" w:sz="0" w:space="0"/>
      </w:pBd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9A98E80">
    <w:pPr>
      <w:pStyle w:val="235"/>
      <w:jc w:val="right"/>
    </w:pPr>
    <w:r>
      <w:rPr>
        <w:rFonts w:hint="eastAsia"/>
      </w:rPr>
      <w:t xml:space="preserve">常州市政府采购项目单一来源采购文件示范文本                                                                </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4F6B1E4">
    <w:pPr>
      <w:pStyle w:val="235"/>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AD427D3">
    <w:pPr>
      <w:pStyle w:val="235"/>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E1E658B">
    <w:pPr>
      <w:pStyle w:val="235"/>
      <w:jc w:val="right"/>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B300BCA">
    <w:pPr>
      <w:pStyle w:val="235"/>
    </w:pPr>
  </w:p>
  <w:p w14:paraId="07B0F439"/>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B9BFDE2">
    <w:pPr>
      <w:pStyle w:val="235"/>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239341B"/>
    <w:multiLevelType w:val="multilevel"/>
    <w:tmpl w:val="9239341B"/>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3.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1">
    <w:nsid w:val="B5E306ED"/>
    <w:multiLevelType w:val="multilevel"/>
    <w:tmpl w:val="B5E306ED"/>
    <w:lvl w:ilvl="0" w:tentative="0">
      <w:start w:val="1"/>
      <w:numFmt w:val="decimal"/>
      <w:pStyle w:val="340"/>
      <w:lvlText w:val="%1."/>
      <w:lvlJc w:val="left"/>
      <w:pPr>
        <w:tabs>
          <w:tab w:val="left" w:pos="360"/>
        </w:tabs>
        <w:ind w:left="360" w:hanging="360"/>
      </w:p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2">
    <w:nsid w:val="BF205925"/>
    <w:multiLevelType w:val="multilevel"/>
    <w:tmpl w:val="BF205925"/>
    <w:lvl w:ilvl="0" w:tentative="0">
      <w:start w:val="1"/>
      <w:numFmt w:val="decimal"/>
      <w:lvlText w:val="%1．"/>
      <w:lvlJc w:val="left"/>
      <w:pPr>
        <w:tabs>
          <w:tab w:val="left" w:pos="768"/>
        </w:tabs>
        <w:ind w:left="768" w:hanging="360"/>
      </w:pPr>
      <w:rPr>
        <w:rFonts w:hint="eastAsia"/>
      </w:rPr>
    </w:lvl>
    <w:lvl w:ilvl="1" w:tentative="0">
      <w:start w:val="1"/>
      <w:numFmt w:val="decimal"/>
      <w:pStyle w:val="327"/>
      <w:lvlText w:val="%2、"/>
      <w:lvlJc w:val="left"/>
      <w:pPr>
        <w:tabs>
          <w:tab w:val="left" w:pos="1188"/>
        </w:tabs>
        <w:ind w:left="1188" w:hanging="360"/>
      </w:pPr>
      <w:rPr>
        <w:rFonts w:hint="eastAsia"/>
      </w:rPr>
    </w:lvl>
    <w:lvl w:ilvl="2" w:tentative="0">
      <w:start w:val="1"/>
      <w:numFmt w:val="decimal"/>
      <w:lvlText w:val="（%3）"/>
      <w:lvlJc w:val="left"/>
      <w:pPr>
        <w:tabs>
          <w:tab w:val="left" w:pos="1968"/>
        </w:tabs>
        <w:ind w:left="1968" w:hanging="720"/>
      </w:pPr>
      <w:rPr>
        <w:rFonts w:hint="eastAsia"/>
        <w:u w:val="none"/>
      </w:rPr>
    </w:lvl>
    <w:lvl w:ilvl="3" w:tentative="0">
      <w:start w:val="1"/>
      <w:numFmt w:val="decimal"/>
      <w:lvlText w:val="%4."/>
      <w:lvlJc w:val="left"/>
      <w:pPr>
        <w:tabs>
          <w:tab w:val="left" w:pos="2088"/>
        </w:tabs>
        <w:ind w:left="2088" w:hanging="420"/>
      </w:pPr>
    </w:lvl>
    <w:lvl w:ilvl="4" w:tentative="0">
      <w:start w:val="1"/>
      <w:numFmt w:val="lowerLetter"/>
      <w:lvlText w:val="%5)"/>
      <w:lvlJc w:val="left"/>
      <w:pPr>
        <w:tabs>
          <w:tab w:val="left" w:pos="2508"/>
        </w:tabs>
        <w:ind w:left="2508" w:hanging="420"/>
      </w:pPr>
    </w:lvl>
    <w:lvl w:ilvl="5" w:tentative="0">
      <w:start w:val="1"/>
      <w:numFmt w:val="lowerRoman"/>
      <w:lvlText w:val="%6."/>
      <w:lvlJc w:val="right"/>
      <w:pPr>
        <w:tabs>
          <w:tab w:val="left" w:pos="2928"/>
        </w:tabs>
        <w:ind w:left="2928" w:hanging="420"/>
      </w:pPr>
    </w:lvl>
    <w:lvl w:ilvl="6" w:tentative="0">
      <w:start w:val="1"/>
      <w:numFmt w:val="decimal"/>
      <w:lvlText w:val="%7."/>
      <w:lvlJc w:val="left"/>
      <w:pPr>
        <w:tabs>
          <w:tab w:val="left" w:pos="3348"/>
        </w:tabs>
        <w:ind w:left="3348" w:hanging="420"/>
      </w:pPr>
    </w:lvl>
    <w:lvl w:ilvl="7" w:tentative="0">
      <w:start w:val="1"/>
      <w:numFmt w:val="lowerLetter"/>
      <w:lvlText w:val="%8)"/>
      <w:lvlJc w:val="left"/>
      <w:pPr>
        <w:tabs>
          <w:tab w:val="left" w:pos="3768"/>
        </w:tabs>
        <w:ind w:left="3768" w:hanging="420"/>
      </w:pPr>
    </w:lvl>
    <w:lvl w:ilvl="8" w:tentative="0">
      <w:start w:val="1"/>
      <w:numFmt w:val="lowerRoman"/>
      <w:lvlText w:val="%9."/>
      <w:lvlJc w:val="right"/>
      <w:pPr>
        <w:tabs>
          <w:tab w:val="left" w:pos="4188"/>
        </w:tabs>
        <w:ind w:left="4188" w:hanging="420"/>
      </w:pPr>
    </w:lvl>
  </w:abstractNum>
  <w:abstractNum w:abstractNumId="3">
    <w:nsid w:val="C8879AEF"/>
    <w:multiLevelType w:val="multilevel"/>
    <w:tmpl w:val="C8879AEF"/>
    <w:lvl w:ilvl="0" w:tentative="0">
      <w:start w:val="2"/>
      <w:numFmt w:val="decimal"/>
      <w:lvlText w:val="%1"/>
      <w:lvlJc w:val="left"/>
      <w:pPr>
        <w:tabs>
          <w:tab w:val="left" w:pos="900"/>
        </w:tabs>
        <w:ind w:left="900" w:hanging="900"/>
      </w:pPr>
      <w:rPr>
        <w:rFonts w:hint="eastAsia"/>
      </w:rPr>
    </w:lvl>
    <w:lvl w:ilvl="1" w:tentative="0">
      <w:start w:val="1"/>
      <w:numFmt w:val="decimal"/>
      <w:lvlText w:val="%1.%2"/>
      <w:lvlJc w:val="left"/>
      <w:pPr>
        <w:tabs>
          <w:tab w:val="left" w:pos="5133"/>
        </w:tabs>
        <w:ind w:left="5012" w:hanging="900"/>
      </w:pPr>
      <w:rPr>
        <w:rFonts w:ascii="Times New Roman" w:hAnsi="Times New Roman" w:cs="Times New Roman"/>
        <w:b w:val="0"/>
        <w:bCs/>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4">
    <w:nsid w:val="CF092B84"/>
    <w:multiLevelType w:val="multilevel"/>
    <w:tmpl w:val="CF092B84"/>
    <w:lvl w:ilvl="0" w:tentative="0">
      <w:start w:val="1"/>
      <w:numFmt w:val="decimal"/>
      <w:pStyle w:val="294"/>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5">
    <w:nsid w:val="0053208E"/>
    <w:multiLevelType w:val="multilevel"/>
    <w:tmpl w:val="0053208E"/>
    <w:lvl w:ilvl="0" w:tentative="0">
      <w:start w:val="1"/>
      <w:numFmt w:val="decimal"/>
      <w:pStyle w:val="289"/>
      <w:suff w:val="nothing"/>
      <w:lvlText w:val="%1　"/>
      <w:lvlJc w:val="left"/>
      <w:pPr>
        <w:ind w:left="-25" w:firstLine="0"/>
      </w:pPr>
      <w:rPr>
        <w:rFonts w:ascii="Times New Roman" w:hAnsi="Times New Roman" w:eastAsia="宋体"/>
        <w:b/>
        <w:i w:val="0"/>
        <w:color w:val="000000"/>
        <w:sz w:val="28"/>
        <w:u w:val="none"/>
      </w:rPr>
    </w:lvl>
    <w:lvl w:ilvl="1" w:tentative="0">
      <w:start w:val="1"/>
      <w:numFmt w:val="decimal"/>
      <w:pStyle w:val="288"/>
      <w:suff w:val="nothing"/>
      <w:lvlText w:val="%1.%2　"/>
      <w:lvlJc w:val="left"/>
      <w:pPr>
        <w:ind w:left="-25" w:firstLine="0"/>
      </w:pPr>
      <w:rPr>
        <w:rFonts w:ascii="Times New Roman" w:hAnsi="Times New Roman" w:eastAsia="宋体"/>
        <w:b/>
        <w:i w:val="0"/>
        <w:color w:val="000000"/>
        <w:spacing w:val="0"/>
        <w:sz w:val="28"/>
        <w:u w:val="none"/>
      </w:rPr>
    </w:lvl>
    <w:lvl w:ilvl="2" w:tentative="0">
      <w:start w:val="1"/>
      <w:numFmt w:val="decimal"/>
      <w:suff w:val="nothing"/>
      <w:lvlText w:val="%1.%2.%3　"/>
      <w:lvlJc w:val="left"/>
      <w:pPr>
        <w:ind w:left="-25" w:firstLine="0"/>
      </w:pPr>
      <w:rPr>
        <w:rFonts w:ascii="Times New Roman" w:hAnsi="Times New Roman" w:eastAsia="黑体"/>
        <w:b/>
        <w:i w:val="0"/>
        <w:sz w:val="28"/>
      </w:rPr>
    </w:lvl>
    <w:lvl w:ilvl="3" w:tentative="0">
      <w:start w:val="1"/>
      <w:numFmt w:val="decimal"/>
      <w:pStyle w:val="325"/>
      <w:suff w:val="nothing"/>
      <w:lvlText w:val="%1.%2.%3.%4　"/>
      <w:lvlJc w:val="left"/>
      <w:pPr>
        <w:ind w:left="-25" w:firstLine="0"/>
      </w:pPr>
      <w:rPr>
        <w:rFonts w:ascii="Times New Roman" w:hAnsi="Times New Roman" w:eastAsia="宋体"/>
        <w:b/>
        <w:i w:val="0"/>
        <w:color w:val="000000"/>
        <w:sz w:val="28"/>
        <w:u w:val="none"/>
      </w:rPr>
    </w:lvl>
    <w:lvl w:ilvl="4" w:tentative="0">
      <w:start w:val="1"/>
      <w:numFmt w:val="decimal"/>
      <w:pStyle w:val="324"/>
      <w:suff w:val="nothing"/>
      <w:lvlText w:val="%1.%2.%3.%4.%5　"/>
      <w:lvlJc w:val="left"/>
      <w:pPr>
        <w:ind w:left="-25" w:firstLine="0"/>
      </w:pPr>
      <w:rPr>
        <w:rFonts w:ascii="Times New Roman" w:hAnsi="Times New Roman" w:eastAsia="宋体"/>
        <w:b/>
        <w:i w:val="0"/>
        <w:color w:val="000000"/>
        <w:sz w:val="28"/>
        <w:u w:val="none"/>
      </w:rPr>
    </w:lvl>
    <w:lvl w:ilvl="5" w:tentative="0">
      <w:start w:val="1"/>
      <w:numFmt w:val="decimal"/>
      <w:pStyle w:val="333"/>
      <w:suff w:val="nothing"/>
      <w:lvlText w:val="%1.%2.%3.%4.%5.%6　"/>
      <w:lvlJc w:val="left"/>
      <w:pPr>
        <w:ind w:left="-25" w:firstLine="0"/>
      </w:pPr>
      <w:rPr>
        <w:rFonts w:ascii="Times New Roman" w:hAnsi="Times New Roman" w:eastAsia="宋体"/>
        <w:b/>
        <w:i w:val="0"/>
        <w:sz w:val="28"/>
      </w:rPr>
    </w:lvl>
    <w:lvl w:ilvl="6" w:tentative="0">
      <w:start w:val="1"/>
      <w:numFmt w:val="lowerLetter"/>
      <w:pStyle w:val="346"/>
      <w:lvlText w:val="%7) "/>
      <w:lvlJc w:val="left"/>
      <w:pPr>
        <w:tabs>
          <w:tab w:val="left" w:pos="635"/>
        </w:tabs>
        <w:ind w:left="-125" w:firstLine="400"/>
      </w:pPr>
      <w:rPr>
        <w:rFonts w:ascii="Times New Roman" w:hAnsi="Times New Roman" w:eastAsia="宋体"/>
        <w:b/>
        <w:i w:val="0"/>
        <w:color w:val="000000"/>
        <w:sz w:val="28"/>
        <w:u w:val="none"/>
      </w:rPr>
    </w:lvl>
    <w:lvl w:ilvl="7" w:tentative="0">
      <w:start w:val="1"/>
      <w:numFmt w:val="decimal"/>
      <w:pStyle w:val="309"/>
      <w:lvlText w:val="%8) "/>
      <w:lvlJc w:val="left"/>
      <w:pPr>
        <w:tabs>
          <w:tab w:val="left" w:pos="860"/>
        </w:tabs>
        <w:ind w:left="500" w:firstLine="0"/>
      </w:pPr>
      <w:rPr>
        <w:rFonts w:ascii="Times New Roman" w:hAnsi="Times New Roman" w:eastAsia="宋体"/>
        <w:b/>
        <w:i w:val="0"/>
        <w:color w:val="000000"/>
        <w:sz w:val="28"/>
        <w:u w:val="none"/>
      </w:rPr>
    </w:lvl>
    <w:lvl w:ilvl="8" w:tentative="0">
      <w:start w:val="1"/>
      <w:numFmt w:val="decimal"/>
      <w:lvlText w:val="%9"/>
      <w:lvlJc w:val="left"/>
      <w:pPr>
        <w:tabs>
          <w:tab w:val="left" w:pos="860"/>
        </w:tabs>
        <w:ind w:left="500" w:firstLine="0"/>
      </w:pPr>
      <w:rPr>
        <w:rFonts w:hint="eastAsia" w:ascii="宋体" w:eastAsia="宋体"/>
        <w:b w:val="0"/>
        <w:i w:val="0"/>
        <w:color w:val="000000"/>
        <w:sz w:val="28"/>
        <w:u w:val="none"/>
      </w:rPr>
    </w:lvl>
  </w:abstractNum>
  <w:abstractNum w:abstractNumId="6">
    <w:nsid w:val="0248C179"/>
    <w:multiLevelType w:val="multilevel"/>
    <w:tmpl w:val="0248C179"/>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3.2.1.%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7">
    <w:nsid w:val="03D62ECE"/>
    <w:multiLevelType w:val="multilevel"/>
    <w:tmpl w:val="03D62ECE"/>
    <w:lvl w:ilvl="0" w:tentative="0">
      <w:start w:val="1"/>
      <w:numFmt w:val="lowerLetter"/>
      <w:pStyle w:val="370"/>
      <w:lvlText w:val="%1)"/>
      <w:lvlJc w:val="left"/>
      <w:pPr>
        <w:ind w:left="902" w:hanging="420"/>
      </w:pPr>
      <w:rPr>
        <w:color w:val="000000"/>
      </w:rPr>
    </w:lvl>
    <w:lvl w:ilvl="1" w:tentative="0">
      <w:start w:val="1"/>
      <w:numFmt w:val="lowerLetter"/>
      <w:lvlText w:val="%2)"/>
      <w:lvlJc w:val="left"/>
      <w:pPr>
        <w:ind w:left="1322" w:hanging="420"/>
      </w:pPr>
    </w:lvl>
    <w:lvl w:ilvl="2" w:tentative="0">
      <w:start w:val="1"/>
      <w:numFmt w:val="lowerRoman"/>
      <w:lvlText w:val="%3."/>
      <w:lvlJc w:val="right"/>
      <w:pPr>
        <w:ind w:left="1742" w:hanging="420"/>
      </w:pPr>
    </w:lvl>
    <w:lvl w:ilvl="3" w:tentative="0">
      <w:start w:val="1"/>
      <w:numFmt w:val="decimal"/>
      <w:lvlText w:val="%4."/>
      <w:lvlJc w:val="left"/>
      <w:pPr>
        <w:ind w:left="2162" w:hanging="420"/>
      </w:pPr>
    </w:lvl>
    <w:lvl w:ilvl="4" w:tentative="0">
      <w:start w:val="1"/>
      <w:numFmt w:val="lowerLetter"/>
      <w:lvlText w:val="%5)"/>
      <w:lvlJc w:val="left"/>
      <w:pPr>
        <w:ind w:left="2582" w:hanging="420"/>
      </w:pPr>
    </w:lvl>
    <w:lvl w:ilvl="5" w:tentative="0">
      <w:start w:val="1"/>
      <w:numFmt w:val="lowerRoman"/>
      <w:lvlText w:val="%6."/>
      <w:lvlJc w:val="right"/>
      <w:pPr>
        <w:ind w:left="3002" w:hanging="420"/>
      </w:pPr>
    </w:lvl>
    <w:lvl w:ilvl="6" w:tentative="0">
      <w:start w:val="1"/>
      <w:numFmt w:val="decimal"/>
      <w:lvlText w:val="%7."/>
      <w:lvlJc w:val="left"/>
      <w:pPr>
        <w:ind w:left="3422" w:hanging="420"/>
      </w:pPr>
    </w:lvl>
    <w:lvl w:ilvl="7" w:tentative="0">
      <w:start w:val="1"/>
      <w:numFmt w:val="lowerLetter"/>
      <w:lvlText w:val="%8)"/>
      <w:lvlJc w:val="left"/>
      <w:pPr>
        <w:ind w:left="3842" w:hanging="420"/>
      </w:pPr>
    </w:lvl>
    <w:lvl w:ilvl="8" w:tentative="0">
      <w:start w:val="1"/>
      <w:numFmt w:val="lowerRoman"/>
      <w:lvlText w:val="%9."/>
      <w:lvlJc w:val="right"/>
      <w:pPr>
        <w:ind w:left="4262" w:hanging="420"/>
      </w:pPr>
    </w:lvl>
  </w:abstractNum>
  <w:abstractNum w:abstractNumId="8">
    <w:nsid w:val="25B654F3"/>
    <w:multiLevelType w:val="multilevel"/>
    <w:tmpl w:val="25B654F3"/>
    <w:lvl w:ilvl="0" w:tentative="0">
      <w:start w:val="1"/>
      <w:numFmt w:val="decimal"/>
      <w:pStyle w:val="395"/>
      <w:lvlText w:val="%1"/>
      <w:lvlJc w:val="left"/>
      <w:pPr>
        <w:ind w:left="680" w:hanging="680"/>
      </w:pPr>
      <w:rPr>
        <w:rFonts w:hint="eastAsia" w:ascii="宋体" w:hAnsi="宋体" w:eastAsia="宋体"/>
      </w:rPr>
    </w:lvl>
    <w:lvl w:ilvl="1" w:tentative="0">
      <w:start w:val="1"/>
      <w:numFmt w:val="decimal"/>
      <w:pStyle w:val="396"/>
      <w:lvlText w:val="%1.%2"/>
      <w:lvlJc w:val="left"/>
      <w:pPr>
        <w:ind w:left="851" w:hanging="851"/>
      </w:pPr>
      <w:rPr>
        <w:rFonts w:hint="eastAsia" w:ascii="宋体" w:hAnsi="宋体" w:eastAsia="宋体"/>
        <w:color w:val="000000"/>
      </w:rPr>
    </w:lvl>
    <w:lvl w:ilvl="2" w:tentative="0">
      <w:start w:val="1"/>
      <w:numFmt w:val="decimal"/>
      <w:pStyle w:val="397"/>
      <w:lvlText w:val="%1.%2.%3"/>
      <w:lvlJc w:val="left"/>
      <w:pPr>
        <w:ind w:left="851" w:hanging="851"/>
      </w:pPr>
      <w:rPr>
        <w:rFonts w:hint="eastAsia"/>
      </w:rPr>
    </w:lvl>
    <w:lvl w:ilvl="3" w:tentative="0">
      <w:start w:val="1"/>
      <w:numFmt w:val="decimal"/>
      <w:lvlText w:val="%1.%2.%3.%4"/>
      <w:lvlJc w:val="left"/>
      <w:pPr>
        <w:ind w:left="680" w:hanging="680"/>
      </w:pPr>
      <w:rPr>
        <w:rFonts w:hint="eastAsia"/>
      </w:rPr>
    </w:lvl>
    <w:lvl w:ilvl="4" w:tentative="0">
      <w:start w:val="1"/>
      <w:numFmt w:val="decimal"/>
      <w:lvlText w:val="%1.%2.%3.%4.%5"/>
      <w:lvlJc w:val="left"/>
      <w:pPr>
        <w:ind w:left="680" w:hanging="680"/>
      </w:pPr>
      <w:rPr>
        <w:rFonts w:hint="eastAsia"/>
      </w:rPr>
    </w:lvl>
    <w:lvl w:ilvl="5" w:tentative="0">
      <w:start w:val="1"/>
      <w:numFmt w:val="decimal"/>
      <w:lvlText w:val="%1.%2.%3.%4.%5.%6"/>
      <w:lvlJc w:val="left"/>
      <w:pPr>
        <w:ind w:left="680" w:hanging="680"/>
      </w:pPr>
      <w:rPr>
        <w:rFonts w:hint="eastAsia"/>
      </w:rPr>
    </w:lvl>
    <w:lvl w:ilvl="6" w:tentative="0">
      <w:start w:val="1"/>
      <w:numFmt w:val="decimal"/>
      <w:lvlText w:val="%1.%2.%3.%4.%5.%6.%7"/>
      <w:lvlJc w:val="left"/>
      <w:pPr>
        <w:ind w:left="680" w:hanging="680"/>
      </w:pPr>
      <w:rPr>
        <w:rFonts w:hint="eastAsia"/>
      </w:rPr>
    </w:lvl>
    <w:lvl w:ilvl="7" w:tentative="0">
      <w:start w:val="1"/>
      <w:numFmt w:val="decimal"/>
      <w:lvlText w:val="%1.%2.%3.%4.%5.%6.%7.%8"/>
      <w:lvlJc w:val="left"/>
      <w:pPr>
        <w:ind w:left="680" w:hanging="680"/>
      </w:pPr>
      <w:rPr>
        <w:rFonts w:hint="eastAsia"/>
      </w:rPr>
    </w:lvl>
    <w:lvl w:ilvl="8" w:tentative="0">
      <w:start w:val="1"/>
      <w:numFmt w:val="decimal"/>
      <w:lvlText w:val="%1.%2.%3.%4.%5.%6.%7.%8.%9"/>
      <w:lvlJc w:val="left"/>
      <w:pPr>
        <w:ind w:left="680" w:hanging="680"/>
      </w:pPr>
      <w:rPr>
        <w:rFonts w:hint="eastAsia"/>
      </w:rPr>
    </w:lvl>
  </w:abstractNum>
  <w:abstractNum w:abstractNumId="9">
    <w:nsid w:val="2A8F537B"/>
    <w:multiLevelType w:val="multilevel"/>
    <w:tmpl w:val="2A8F537B"/>
    <w:lvl w:ilvl="0" w:tentative="0">
      <w:start w:val="1"/>
      <w:numFmt w:val="japaneseCounting"/>
      <w:lvlText w:val="第%1章"/>
      <w:lvlJc w:val="left"/>
      <w:pPr>
        <w:tabs>
          <w:tab w:val="left" w:pos="5225"/>
        </w:tabs>
        <w:ind w:left="5225" w:hanging="1140"/>
      </w:pPr>
      <w:rPr>
        <w:rFonts w:hint="eastAsia"/>
      </w:rPr>
    </w:lvl>
    <w:lvl w:ilvl="1" w:tentative="0">
      <w:start w:val="1"/>
      <w:numFmt w:val="lowerLetter"/>
      <w:lvlText w:val="%2)"/>
      <w:lvlJc w:val="left"/>
      <w:pPr>
        <w:tabs>
          <w:tab w:val="left" w:pos="4925"/>
        </w:tabs>
        <w:ind w:left="4925" w:hanging="420"/>
      </w:pPr>
    </w:lvl>
    <w:lvl w:ilvl="2" w:tentative="0">
      <w:start w:val="1"/>
      <w:numFmt w:val="lowerRoman"/>
      <w:lvlText w:val="%3."/>
      <w:lvlJc w:val="right"/>
      <w:pPr>
        <w:tabs>
          <w:tab w:val="left" w:pos="5345"/>
        </w:tabs>
        <w:ind w:left="5345" w:hanging="420"/>
      </w:pPr>
    </w:lvl>
    <w:lvl w:ilvl="3" w:tentative="0">
      <w:start w:val="1"/>
      <w:numFmt w:val="decimal"/>
      <w:lvlText w:val="%4."/>
      <w:lvlJc w:val="left"/>
      <w:pPr>
        <w:tabs>
          <w:tab w:val="left" w:pos="5765"/>
        </w:tabs>
        <w:ind w:left="5765" w:hanging="420"/>
      </w:pPr>
    </w:lvl>
    <w:lvl w:ilvl="4" w:tentative="0">
      <w:start w:val="1"/>
      <w:numFmt w:val="lowerLetter"/>
      <w:lvlText w:val="%5)"/>
      <w:lvlJc w:val="left"/>
      <w:pPr>
        <w:tabs>
          <w:tab w:val="left" w:pos="6185"/>
        </w:tabs>
        <w:ind w:left="6185" w:hanging="420"/>
      </w:pPr>
    </w:lvl>
    <w:lvl w:ilvl="5" w:tentative="0">
      <w:start w:val="1"/>
      <w:numFmt w:val="lowerRoman"/>
      <w:lvlText w:val="%6."/>
      <w:lvlJc w:val="right"/>
      <w:pPr>
        <w:tabs>
          <w:tab w:val="left" w:pos="6605"/>
        </w:tabs>
        <w:ind w:left="6605" w:hanging="420"/>
      </w:pPr>
    </w:lvl>
    <w:lvl w:ilvl="6" w:tentative="0">
      <w:start w:val="1"/>
      <w:numFmt w:val="decimal"/>
      <w:lvlText w:val="%7."/>
      <w:lvlJc w:val="left"/>
      <w:pPr>
        <w:tabs>
          <w:tab w:val="left" w:pos="7025"/>
        </w:tabs>
        <w:ind w:left="7025" w:hanging="420"/>
      </w:pPr>
    </w:lvl>
    <w:lvl w:ilvl="7" w:tentative="0">
      <w:start w:val="1"/>
      <w:numFmt w:val="lowerLetter"/>
      <w:lvlText w:val="%8)"/>
      <w:lvlJc w:val="left"/>
      <w:pPr>
        <w:tabs>
          <w:tab w:val="left" w:pos="7445"/>
        </w:tabs>
        <w:ind w:left="7445" w:hanging="420"/>
      </w:pPr>
    </w:lvl>
    <w:lvl w:ilvl="8" w:tentative="0">
      <w:start w:val="1"/>
      <w:numFmt w:val="lowerRoman"/>
      <w:lvlText w:val="%9."/>
      <w:lvlJc w:val="right"/>
      <w:pPr>
        <w:tabs>
          <w:tab w:val="left" w:pos="7865"/>
        </w:tabs>
        <w:ind w:left="7865" w:hanging="420"/>
      </w:pPr>
    </w:lvl>
  </w:abstractNum>
  <w:abstractNum w:abstractNumId="10">
    <w:nsid w:val="59ADCABA"/>
    <w:multiLevelType w:val="multilevel"/>
    <w:tmpl w:val="59ADCABA"/>
    <w:lvl w:ilvl="0" w:tentative="0">
      <w:start w:val="1"/>
      <w:numFmt w:val="decimal"/>
      <w:pStyle w:val="295"/>
      <w:lvlText w:val="%1."/>
      <w:lvlJc w:val="left"/>
      <w:pPr>
        <w:ind w:left="420" w:hanging="420"/>
      </w:pPr>
    </w:lvl>
    <w:lvl w:ilvl="1" w:tentative="0">
      <w:start w:val="1"/>
      <w:numFmt w:val="decimal"/>
      <w:lvlText w:val="（%2）"/>
      <w:lvlJc w:val="left"/>
      <w:pPr>
        <w:tabs>
          <w:tab w:val="left" w:pos="1140"/>
        </w:tabs>
        <w:ind w:left="1140" w:hanging="720"/>
      </w:pPr>
      <w:rPr>
        <w:rFonts w:hint="eastAsia"/>
      </w:r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1">
    <w:nsid w:val="5A241D34"/>
    <w:multiLevelType w:val="multilevel"/>
    <w:tmpl w:val="5A241D34"/>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447"/>
        </w:tabs>
        <w:ind w:left="1326" w:hanging="900"/>
      </w:pPr>
      <w:rPr>
        <w:rFonts w:hint="eastAsia"/>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12">
    <w:nsid w:val="72183CF9"/>
    <w:multiLevelType w:val="multilevel"/>
    <w:tmpl w:val="72183CF9"/>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num w:numId="1">
    <w:abstractNumId w:val="5"/>
  </w:num>
  <w:num w:numId="2">
    <w:abstractNumId w:val="4"/>
  </w:num>
  <w:num w:numId="3">
    <w:abstractNumId w:val="10"/>
  </w:num>
  <w:num w:numId="4">
    <w:abstractNumId w:val="2"/>
  </w:num>
  <w:num w:numId="5">
    <w:abstractNumId w:val="1"/>
  </w:num>
  <w:num w:numId="6">
    <w:abstractNumId w:val="7"/>
  </w:num>
  <w:num w:numId="7">
    <w:abstractNumId w:val="8"/>
  </w:num>
  <w:num w:numId="8">
    <w:abstractNumId w:val="12"/>
  </w:num>
  <w:num w:numId="9">
    <w:abstractNumId w:val="6"/>
  </w:num>
  <w:num w:numId="10">
    <w:abstractNumId w:val="0"/>
  </w:num>
  <w:num w:numId="11">
    <w:abstractNumId w:val="9"/>
  </w:num>
  <w:num w:numId="12">
    <w:abstractNumId w:val="11"/>
  </w:num>
  <w:num w:numId="1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bordersDoNotSurroundHeader w:val="0"/>
  <w:bordersDoNotSurroundFooter w:val="0"/>
  <w:documentProtection w:enforcement="0"/>
  <w:defaultTabStop w:val="420"/>
  <w:displayHorizontalDrawingGridEvery w:val="1"/>
  <w:displayVerticalDrawingGridEvery w:val="1"/>
  <w:noPunctuationKerning w:val="1"/>
  <w:characterSpacingControl w:val="doNotCompress"/>
  <w:compat>
    <w:balanceSingleByteDoubleByteWidth/>
    <w:ulTrailSpace/>
    <w:doNotExpandShiftReturn/>
    <w:doNotWrapTextWithPunct/>
    <w:doNotUseEastAsianBreakRules/>
    <w:useFELayout/>
    <w:useAltKinsokuLineBreakRules/>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0294959"/>
    <w:rsid w:val="00305CE7"/>
    <w:rsid w:val="00555521"/>
    <w:rsid w:val="01172A03"/>
    <w:rsid w:val="021D673F"/>
    <w:rsid w:val="02987B74"/>
    <w:rsid w:val="03D1741F"/>
    <w:rsid w:val="05940AC6"/>
    <w:rsid w:val="061834A6"/>
    <w:rsid w:val="06514C09"/>
    <w:rsid w:val="087921F6"/>
    <w:rsid w:val="08C01598"/>
    <w:rsid w:val="0AE61DC4"/>
    <w:rsid w:val="0B01565A"/>
    <w:rsid w:val="0BAB0918"/>
    <w:rsid w:val="0C796143"/>
    <w:rsid w:val="0DA9532B"/>
    <w:rsid w:val="0E26072A"/>
    <w:rsid w:val="0E5E4367"/>
    <w:rsid w:val="0E975183"/>
    <w:rsid w:val="0EFA4090"/>
    <w:rsid w:val="0F307AB2"/>
    <w:rsid w:val="12015736"/>
    <w:rsid w:val="1272218F"/>
    <w:rsid w:val="12F30A40"/>
    <w:rsid w:val="14045069"/>
    <w:rsid w:val="14302302"/>
    <w:rsid w:val="16A9014A"/>
    <w:rsid w:val="19434886"/>
    <w:rsid w:val="19635053"/>
    <w:rsid w:val="1A240213"/>
    <w:rsid w:val="1A66082C"/>
    <w:rsid w:val="1E1B192D"/>
    <w:rsid w:val="1EAC2999"/>
    <w:rsid w:val="1EAF02C7"/>
    <w:rsid w:val="1EC41FC5"/>
    <w:rsid w:val="1F0E3240"/>
    <w:rsid w:val="1F2572A8"/>
    <w:rsid w:val="1F66307C"/>
    <w:rsid w:val="203E5DA7"/>
    <w:rsid w:val="20E00C0C"/>
    <w:rsid w:val="21D267A7"/>
    <w:rsid w:val="22D84291"/>
    <w:rsid w:val="23533ABC"/>
    <w:rsid w:val="23A61A6C"/>
    <w:rsid w:val="23B5012E"/>
    <w:rsid w:val="24B623B0"/>
    <w:rsid w:val="2536529E"/>
    <w:rsid w:val="25875AFA"/>
    <w:rsid w:val="27960276"/>
    <w:rsid w:val="29A749BD"/>
    <w:rsid w:val="2AB729DE"/>
    <w:rsid w:val="2AC40937"/>
    <w:rsid w:val="2CA62D0A"/>
    <w:rsid w:val="2D483DC1"/>
    <w:rsid w:val="2F2F6948"/>
    <w:rsid w:val="31B23EFF"/>
    <w:rsid w:val="31EA40F4"/>
    <w:rsid w:val="31F6592D"/>
    <w:rsid w:val="336456CD"/>
    <w:rsid w:val="343659B5"/>
    <w:rsid w:val="34C44675"/>
    <w:rsid w:val="35C020D4"/>
    <w:rsid w:val="365D08DD"/>
    <w:rsid w:val="388D52A9"/>
    <w:rsid w:val="392A6A70"/>
    <w:rsid w:val="3A865F28"/>
    <w:rsid w:val="3AD776B1"/>
    <w:rsid w:val="3BC92571"/>
    <w:rsid w:val="3C432323"/>
    <w:rsid w:val="3F3F36A7"/>
    <w:rsid w:val="3F422D66"/>
    <w:rsid w:val="3F4B2DEB"/>
    <w:rsid w:val="41BF3596"/>
    <w:rsid w:val="420F4A55"/>
    <w:rsid w:val="42147D6B"/>
    <w:rsid w:val="442514AB"/>
    <w:rsid w:val="4541761C"/>
    <w:rsid w:val="45533857"/>
    <w:rsid w:val="46F30DEA"/>
    <w:rsid w:val="47555600"/>
    <w:rsid w:val="478D6B48"/>
    <w:rsid w:val="4A871F75"/>
    <w:rsid w:val="4B9506C1"/>
    <w:rsid w:val="4C1E2465"/>
    <w:rsid w:val="4C3E6663"/>
    <w:rsid w:val="4D4D3A3C"/>
    <w:rsid w:val="4EFB083B"/>
    <w:rsid w:val="5119769F"/>
    <w:rsid w:val="5153670D"/>
    <w:rsid w:val="523227C6"/>
    <w:rsid w:val="5322283B"/>
    <w:rsid w:val="55256612"/>
    <w:rsid w:val="55676C2B"/>
    <w:rsid w:val="55A57753"/>
    <w:rsid w:val="57631674"/>
    <w:rsid w:val="5765363E"/>
    <w:rsid w:val="580B5AC8"/>
    <w:rsid w:val="587C0C3F"/>
    <w:rsid w:val="58DD0FB2"/>
    <w:rsid w:val="590429E2"/>
    <w:rsid w:val="5991071A"/>
    <w:rsid w:val="5B8D23F3"/>
    <w:rsid w:val="5B8D49D9"/>
    <w:rsid w:val="5E1C257C"/>
    <w:rsid w:val="5E2778DC"/>
    <w:rsid w:val="5F2711D9"/>
    <w:rsid w:val="5F7A2FA4"/>
    <w:rsid w:val="5FEB0DF2"/>
    <w:rsid w:val="606A159E"/>
    <w:rsid w:val="60BF5B6D"/>
    <w:rsid w:val="60C2740B"/>
    <w:rsid w:val="61F71336"/>
    <w:rsid w:val="63514BA9"/>
    <w:rsid w:val="66432D9C"/>
    <w:rsid w:val="67EA6A00"/>
    <w:rsid w:val="68E7412C"/>
    <w:rsid w:val="6C1908C3"/>
    <w:rsid w:val="6C9F4AA4"/>
    <w:rsid w:val="6CB93DB8"/>
    <w:rsid w:val="6CD44986"/>
    <w:rsid w:val="6CED3A62"/>
    <w:rsid w:val="6D384CD5"/>
    <w:rsid w:val="6D745F31"/>
    <w:rsid w:val="6DF606F4"/>
    <w:rsid w:val="6E184B0E"/>
    <w:rsid w:val="6E1C749B"/>
    <w:rsid w:val="6E6E472E"/>
    <w:rsid w:val="6F5002D8"/>
    <w:rsid w:val="6F7F4719"/>
    <w:rsid w:val="6FE70C3C"/>
    <w:rsid w:val="71153587"/>
    <w:rsid w:val="71CC633B"/>
    <w:rsid w:val="7216438A"/>
    <w:rsid w:val="722717C4"/>
    <w:rsid w:val="724A54B2"/>
    <w:rsid w:val="72916C3D"/>
    <w:rsid w:val="73FB6A64"/>
    <w:rsid w:val="75B94E29"/>
    <w:rsid w:val="76DD515C"/>
    <w:rsid w:val="77381D7D"/>
    <w:rsid w:val="7AAD4830"/>
    <w:rsid w:val="7BB67714"/>
    <w:rsid w:val="7DE13B32"/>
    <w:rsid w:val="7DF86F43"/>
    <w:rsid w:val="7E607791"/>
    <w:rsid w:val="7E9A50CB"/>
    <w:rsid w:val="7F4219EB"/>
    <w:rsid w:val="7FEC23E0"/>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uiPriority="99" w:name="Normal Indent"/>
    <w:lsdException w:qFormat="1"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qFormat="1" w:uiPriority="99" w:semiHidden="0" w:name="table of figures"/>
    <w:lsdException w:uiPriority="99" w:name="envelope address"/>
    <w:lsdException w:uiPriority="99" w:name="envelope return"/>
    <w:lsdException w:qFormat="1" w:uiPriority="99" w:semiHidden="0" w:name="footnote reference"/>
    <w:lsdException w:uiPriority="99" w:name="annotation reference"/>
    <w:lsdException w:uiPriority="99" w:name="line number"/>
    <w:lsdException w:uiPriority="99" w:name="page number"/>
    <w:lsdException w:qFormat="1" w:uiPriority="99" w:name="endnote reference"/>
    <w:lsdException w:qFormat="1" w:uiPriority="99" w:name="endnote text"/>
    <w:lsdException w:qFormat="1" w:unhideWhenUsed="0" w:uiPriority="0" w:semiHidden="0"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link w:val="441"/>
    <w:qFormat/>
    <w:uiPriority w:val="0"/>
    <w:pPr>
      <w:widowControl w:val="0"/>
      <w:jc w:val="both"/>
    </w:pPr>
    <w:rPr>
      <w:rFonts w:hint="default" w:ascii="Times New Roman" w:hAnsi="Times New Roman" w:eastAsia="宋体" w:cs="Times New Roman"/>
      <w:sz w:val="21"/>
      <w:szCs w:val="24"/>
      <w:lang w:val="en-US" w:eastAsia="zh-CN" w:bidi="ar-SA"/>
    </w:rPr>
  </w:style>
  <w:style w:type="paragraph" w:styleId="3">
    <w:name w:val="heading 1"/>
    <w:basedOn w:val="1"/>
    <w:next w:val="1"/>
    <w:link w:val="36"/>
    <w:qFormat/>
    <w:uiPriority w:val="9"/>
    <w:pPr>
      <w:keepNext/>
      <w:keepLines/>
      <w:spacing w:before="480" w:after="200"/>
      <w:outlineLvl w:val="0"/>
    </w:pPr>
    <w:rPr>
      <w:rFonts w:ascii="Arial" w:hAnsi="Arial" w:eastAsia="Arial" w:cs="Arial"/>
      <w:sz w:val="40"/>
      <w:szCs w:val="40"/>
    </w:rPr>
  </w:style>
  <w:style w:type="paragraph" w:styleId="4">
    <w:name w:val="heading 2"/>
    <w:basedOn w:val="1"/>
    <w:next w:val="1"/>
    <w:link w:val="37"/>
    <w:unhideWhenUsed/>
    <w:qFormat/>
    <w:uiPriority w:val="9"/>
    <w:pPr>
      <w:keepNext/>
      <w:keepLines/>
      <w:spacing w:before="360" w:after="200"/>
      <w:outlineLvl w:val="1"/>
    </w:pPr>
    <w:rPr>
      <w:rFonts w:ascii="Arial" w:hAnsi="Arial" w:eastAsia="Arial" w:cs="Arial"/>
      <w:sz w:val="34"/>
    </w:rPr>
  </w:style>
  <w:style w:type="paragraph" w:styleId="5">
    <w:name w:val="heading 3"/>
    <w:basedOn w:val="1"/>
    <w:next w:val="1"/>
    <w:link w:val="38"/>
    <w:unhideWhenUsed/>
    <w:qFormat/>
    <w:uiPriority w:val="9"/>
    <w:pPr>
      <w:keepNext/>
      <w:keepLines/>
      <w:spacing w:before="320" w:after="200"/>
      <w:outlineLvl w:val="2"/>
    </w:pPr>
    <w:rPr>
      <w:rFonts w:ascii="Arial" w:hAnsi="Arial" w:eastAsia="Arial" w:cs="Arial"/>
      <w:sz w:val="30"/>
      <w:szCs w:val="30"/>
    </w:rPr>
  </w:style>
  <w:style w:type="paragraph" w:styleId="6">
    <w:name w:val="heading 4"/>
    <w:basedOn w:val="1"/>
    <w:next w:val="1"/>
    <w:link w:val="39"/>
    <w:unhideWhenUsed/>
    <w:qFormat/>
    <w:uiPriority w:val="9"/>
    <w:pPr>
      <w:keepNext/>
      <w:keepLines/>
      <w:spacing w:before="320" w:after="200"/>
      <w:outlineLvl w:val="3"/>
    </w:pPr>
    <w:rPr>
      <w:rFonts w:ascii="Arial" w:hAnsi="Arial" w:eastAsia="Arial" w:cs="Arial"/>
      <w:b/>
      <w:bCs/>
      <w:sz w:val="26"/>
      <w:szCs w:val="26"/>
    </w:rPr>
  </w:style>
  <w:style w:type="paragraph" w:styleId="7">
    <w:name w:val="heading 5"/>
    <w:basedOn w:val="1"/>
    <w:next w:val="1"/>
    <w:link w:val="40"/>
    <w:unhideWhenUsed/>
    <w:qFormat/>
    <w:uiPriority w:val="9"/>
    <w:pPr>
      <w:keepNext/>
      <w:keepLines/>
      <w:spacing w:before="320" w:after="200"/>
      <w:outlineLvl w:val="4"/>
    </w:pPr>
    <w:rPr>
      <w:rFonts w:ascii="Arial" w:hAnsi="Arial" w:eastAsia="Arial" w:cs="Arial"/>
      <w:b/>
      <w:bCs/>
      <w:sz w:val="24"/>
      <w:szCs w:val="24"/>
    </w:rPr>
  </w:style>
  <w:style w:type="paragraph" w:styleId="8">
    <w:name w:val="heading 6"/>
    <w:basedOn w:val="1"/>
    <w:next w:val="1"/>
    <w:link w:val="41"/>
    <w:unhideWhenUsed/>
    <w:qFormat/>
    <w:uiPriority w:val="9"/>
    <w:pPr>
      <w:keepNext/>
      <w:keepLines/>
      <w:spacing w:before="320" w:after="200"/>
      <w:outlineLvl w:val="5"/>
    </w:pPr>
    <w:rPr>
      <w:rFonts w:ascii="Arial" w:hAnsi="Arial" w:eastAsia="Arial" w:cs="Arial"/>
      <w:b/>
      <w:bCs/>
      <w:sz w:val="22"/>
      <w:szCs w:val="22"/>
    </w:rPr>
  </w:style>
  <w:style w:type="paragraph" w:styleId="9">
    <w:name w:val="heading 7"/>
    <w:basedOn w:val="1"/>
    <w:next w:val="1"/>
    <w:link w:val="42"/>
    <w:unhideWhenUsed/>
    <w:qFormat/>
    <w:uiPriority w:val="9"/>
    <w:pPr>
      <w:keepNext/>
      <w:keepLines/>
      <w:spacing w:before="320" w:after="200"/>
      <w:outlineLvl w:val="6"/>
    </w:pPr>
    <w:rPr>
      <w:rFonts w:ascii="Arial" w:hAnsi="Arial" w:eastAsia="Arial" w:cs="Arial"/>
      <w:b/>
      <w:bCs/>
      <w:i/>
      <w:iCs/>
      <w:sz w:val="22"/>
      <w:szCs w:val="22"/>
    </w:rPr>
  </w:style>
  <w:style w:type="paragraph" w:styleId="10">
    <w:name w:val="heading 8"/>
    <w:basedOn w:val="1"/>
    <w:next w:val="1"/>
    <w:link w:val="43"/>
    <w:unhideWhenUsed/>
    <w:qFormat/>
    <w:uiPriority w:val="9"/>
    <w:pPr>
      <w:keepNext/>
      <w:keepLines/>
      <w:spacing w:before="320" w:after="200"/>
      <w:outlineLvl w:val="7"/>
    </w:pPr>
    <w:rPr>
      <w:rFonts w:ascii="Arial" w:hAnsi="Arial" w:eastAsia="Arial" w:cs="Arial"/>
      <w:i/>
      <w:iCs/>
      <w:sz w:val="22"/>
      <w:szCs w:val="22"/>
    </w:rPr>
  </w:style>
  <w:style w:type="paragraph" w:styleId="11">
    <w:name w:val="heading 9"/>
    <w:basedOn w:val="1"/>
    <w:next w:val="1"/>
    <w:link w:val="44"/>
    <w:unhideWhenUsed/>
    <w:qFormat/>
    <w:uiPriority w:val="9"/>
    <w:pPr>
      <w:keepNext/>
      <w:keepLines/>
      <w:spacing w:before="320" w:after="200"/>
      <w:outlineLvl w:val="8"/>
    </w:pPr>
    <w:rPr>
      <w:rFonts w:ascii="Arial" w:hAnsi="Arial" w:eastAsia="Arial" w:cs="Arial"/>
      <w:i/>
      <w:iCs/>
      <w:sz w:val="21"/>
      <w:szCs w:val="21"/>
    </w:rPr>
  </w:style>
  <w:style w:type="character" w:default="1" w:styleId="32">
    <w:name w:val="Default Paragraph Font"/>
    <w:semiHidden/>
    <w:unhideWhenUsed/>
    <w:qFormat/>
    <w:uiPriority w:val="1"/>
  </w:style>
  <w:style w:type="table" w:default="1" w:styleId="30">
    <w:name w:val="Normal Table"/>
    <w:semiHidden/>
    <w:unhideWhenUsed/>
    <w:qFormat/>
    <w:uiPriority w:val="99"/>
    <w:tblPr>
      <w:tblCellMar>
        <w:top w:w="0" w:type="dxa"/>
        <w:left w:w="108" w:type="dxa"/>
        <w:bottom w:w="0" w:type="dxa"/>
        <w:right w:w="108" w:type="dxa"/>
      </w:tblCellMar>
    </w:tblPr>
  </w:style>
  <w:style w:type="paragraph" w:styleId="2">
    <w:name w:val="table of authorities"/>
    <w:basedOn w:val="1"/>
    <w:next w:val="1"/>
    <w:qFormat/>
    <w:uiPriority w:val="0"/>
    <w:pPr>
      <w:ind w:left="420" w:leftChars="200"/>
    </w:pPr>
  </w:style>
  <w:style w:type="paragraph" w:styleId="12">
    <w:name w:val="toc 7"/>
    <w:basedOn w:val="1"/>
    <w:next w:val="1"/>
    <w:unhideWhenUsed/>
    <w:qFormat/>
    <w:uiPriority w:val="39"/>
    <w:pPr>
      <w:spacing w:after="57"/>
      <w:ind w:left="1701" w:right="0" w:firstLine="0"/>
    </w:pPr>
  </w:style>
  <w:style w:type="paragraph" w:styleId="13">
    <w:name w:val="caption"/>
    <w:basedOn w:val="1"/>
    <w:next w:val="1"/>
    <w:semiHidden/>
    <w:unhideWhenUsed/>
    <w:qFormat/>
    <w:uiPriority w:val="35"/>
    <w:pPr>
      <w:spacing w:line="276" w:lineRule="auto"/>
    </w:pPr>
    <w:rPr>
      <w:b/>
      <w:bCs/>
      <w:color w:val="4F81BD" w:themeColor="accent1"/>
      <w:sz w:val="18"/>
      <w:szCs w:val="18"/>
    </w:rPr>
  </w:style>
  <w:style w:type="paragraph" w:styleId="14">
    <w:name w:val="Body Text"/>
    <w:next w:val="1"/>
    <w:qFormat/>
    <w:uiPriority w:val="0"/>
    <w:pPr>
      <w:widowControl w:val="0"/>
      <w:tabs>
        <w:tab w:val="left" w:pos="567"/>
      </w:tabs>
      <w:spacing w:before="120" w:line="22" w:lineRule="atLeast"/>
      <w:jc w:val="both"/>
    </w:pPr>
    <w:rPr>
      <w:rFonts w:ascii="宋体" w:hAnsi="宋体" w:eastAsia="宋体" w:cs="Times New Roman"/>
      <w:kern w:val="2"/>
      <w:sz w:val="24"/>
      <w:szCs w:val="24"/>
      <w:lang w:val="en-US" w:eastAsia="zh-CN" w:bidi="ar-SA"/>
    </w:rPr>
  </w:style>
  <w:style w:type="paragraph" w:styleId="15">
    <w:name w:val="toc 5"/>
    <w:basedOn w:val="1"/>
    <w:next w:val="1"/>
    <w:unhideWhenUsed/>
    <w:qFormat/>
    <w:uiPriority w:val="39"/>
    <w:pPr>
      <w:spacing w:after="57"/>
      <w:ind w:left="1134" w:right="0" w:firstLine="0"/>
    </w:pPr>
  </w:style>
  <w:style w:type="paragraph" w:styleId="16">
    <w:name w:val="toc 3"/>
    <w:basedOn w:val="1"/>
    <w:next w:val="1"/>
    <w:unhideWhenUsed/>
    <w:qFormat/>
    <w:uiPriority w:val="39"/>
    <w:pPr>
      <w:spacing w:after="57"/>
      <w:ind w:left="567" w:right="0" w:firstLine="0"/>
    </w:pPr>
  </w:style>
  <w:style w:type="paragraph" w:styleId="17">
    <w:name w:val="toc 8"/>
    <w:basedOn w:val="1"/>
    <w:next w:val="1"/>
    <w:unhideWhenUsed/>
    <w:qFormat/>
    <w:uiPriority w:val="39"/>
    <w:pPr>
      <w:spacing w:after="57"/>
      <w:ind w:left="1984" w:right="0" w:firstLine="0"/>
    </w:pPr>
  </w:style>
  <w:style w:type="paragraph" w:styleId="18">
    <w:name w:val="endnote text"/>
    <w:basedOn w:val="1"/>
    <w:link w:val="182"/>
    <w:semiHidden/>
    <w:unhideWhenUsed/>
    <w:qFormat/>
    <w:uiPriority w:val="99"/>
    <w:pPr>
      <w:spacing w:after="0" w:line="240" w:lineRule="auto"/>
    </w:pPr>
    <w:rPr>
      <w:sz w:val="20"/>
    </w:rPr>
  </w:style>
  <w:style w:type="paragraph" w:styleId="19">
    <w:name w:val="footer"/>
    <w:basedOn w:val="1"/>
    <w:link w:val="55"/>
    <w:unhideWhenUsed/>
    <w:qFormat/>
    <w:uiPriority w:val="99"/>
    <w:pPr>
      <w:tabs>
        <w:tab w:val="center" w:pos="7143"/>
        <w:tab w:val="right" w:pos="14287"/>
      </w:tabs>
      <w:spacing w:after="0" w:line="240" w:lineRule="auto"/>
    </w:pPr>
  </w:style>
  <w:style w:type="paragraph" w:styleId="20">
    <w:name w:val="header"/>
    <w:basedOn w:val="1"/>
    <w:link w:val="53"/>
    <w:unhideWhenUsed/>
    <w:qFormat/>
    <w:uiPriority w:val="99"/>
    <w:pPr>
      <w:tabs>
        <w:tab w:val="center" w:pos="7143"/>
        <w:tab w:val="right" w:pos="14287"/>
      </w:tabs>
      <w:spacing w:after="0" w:line="240" w:lineRule="auto"/>
    </w:pPr>
  </w:style>
  <w:style w:type="paragraph" w:styleId="21">
    <w:name w:val="toc 1"/>
    <w:basedOn w:val="1"/>
    <w:next w:val="1"/>
    <w:unhideWhenUsed/>
    <w:qFormat/>
    <w:uiPriority w:val="39"/>
    <w:pPr>
      <w:spacing w:after="57"/>
      <w:ind w:left="0" w:right="0" w:firstLine="0"/>
    </w:pPr>
  </w:style>
  <w:style w:type="paragraph" w:styleId="22">
    <w:name w:val="toc 4"/>
    <w:basedOn w:val="1"/>
    <w:next w:val="1"/>
    <w:unhideWhenUsed/>
    <w:qFormat/>
    <w:uiPriority w:val="39"/>
    <w:pPr>
      <w:spacing w:after="57"/>
      <w:ind w:left="850" w:right="0" w:firstLine="0"/>
    </w:pPr>
  </w:style>
  <w:style w:type="paragraph" w:styleId="23">
    <w:name w:val="Subtitle"/>
    <w:basedOn w:val="1"/>
    <w:next w:val="1"/>
    <w:link w:val="48"/>
    <w:qFormat/>
    <w:uiPriority w:val="11"/>
    <w:pPr>
      <w:spacing w:before="200" w:after="200"/>
    </w:pPr>
    <w:rPr>
      <w:sz w:val="24"/>
      <w:szCs w:val="24"/>
    </w:rPr>
  </w:style>
  <w:style w:type="paragraph" w:styleId="24">
    <w:name w:val="footnote text"/>
    <w:basedOn w:val="1"/>
    <w:link w:val="181"/>
    <w:semiHidden/>
    <w:unhideWhenUsed/>
    <w:qFormat/>
    <w:uiPriority w:val="99"/>
    <w:pPr>
      <w:spacing w:after="40" w:line="240" w:lineRule="auto"/>
    </w:pPr>
    <w:rPr>
      <w:sz w:val="18"/>
    </w:rPr>
  </w:style>
  <w:style w:type="paragraph" w:styleId="25">
    <w:name w:val="toc 6"/>
    <w:basedOn w:val="1"/>
    <w:next w:val="1"/>
    <w:unhideWhenUsed/>
    <w:qFormat/>
    <w:uiPriority w:val="39"/>
    <w:pPr>
      <w:spacing w:after="57"/>
      <w:ind w:left="1417" w:right="0" w:firstLine="0"/>
    </w:pPr>
  </w:style>
  <w:style w:type="paragraph" w:styleId="26">
    <w:name w:val="table of figures"/>
    <w:basedOn w:val="1"/>
    <w:next w:val="1"/>
    <w:unhideWhenUsed/>
    <w:qFormat/>
    <w:uiPriority w:val="99"/>
    <w:pPr>
      <w:spacing w:after="0" w:afterAutospacing="0"/>
    </w:pPr>
  </w:style>
  <w:style w:type="paragraph" w:styleId="27">
    <w:name w:val="toc 2"/>
    <w:basedOn w:val="1"/>
    <w:next w:val="1"/>
    <w:unhideWhenUsed/>
    <w:qFormat/>
    <w:uiPriority w:val="39"/>
    <w:pPr>
      <w:spacing w:after="57"/>
      <w:ind w:left="283" w:right="0" w:firstLine="0"/>
    </w:pPr>
  </w:style>
  <w:style w:type="paragraph" w:styleId="28">
    <w:name w:val="toc 9"/>
    <w:basedOn w:val="1"/>
    <w:next w:val="1"/>
    <w:unhideWhenUsed/>
    <w:qFormat/>
    <w:uiPriority w:val="39"/>
    <w:pPr>
      <w:spacing w:after="57"/>
      <w:ind w:left="2268" w:right="0" w:firstLine="0"/>
    </w:pPr>
  </w:style>
  <w:style w:type="paragraph" w:styleId="29">
    <w:name w:val="Title"/>
    <w:basedOn w:val="1"/>
    <w:next w:val="1"/>
    <w:link w:val="47"/>
    <w:qFormat/>
    <w:uiPriority w:val="10"/>
    <w:pPr>
      <w:spacing w:before="300" w:after="200"/>
      <w:contextualSpacing/>
    </w:pPr>
    <w:rPr>
      <w:sz w:val="48"/>
      <w:szCs w:val="48"/>
    </w:rPr>
  </w:style>
  <w:style w:type="table" w:styleId="31">
    <w:name w:val="Table Grid"/>
    <w:qFormat/>
    <w:uiPriority w:val="59"/>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33">
    <w:name w:val="endnote reference"/>
    <w:semiHidden/>
    <w:unhideWhenUsed/>
    <w:qFormat/>
    <w:uiPriority w:val="99"/>
    <w:rPr>
      <w:vertAlign w:val="superscript"/>
    </w:rPr>
  </w:style>
  <w:style w:type="character" w:styleId="34">
    <w:name w:val="Hyperlink"/>
    <w:unhideWhenUsed/>
    <w:qFormat/>
    <w:uiPriority w:val="99"/>
    <w:rPr>
      <w:color w:val="0000FF" w:themeColor="hyperlink"/>
      <w:u w:val="single"/>
    </w:rPr>
  </w:style>
  <w:style w:type="character" w:styleId="35">
    <w:name w:val="footnote reference"/>
    <w:unhideWhenUsed/>
    <w:qFormat/>
    <w:uiPriority w:val="99"/>
    <w:rPr>
      <w:vertAlign w:val="superscript"/>
    </w:rPr>
  </w:style>
  <w:style w:type="character" w:customStyle="1" w:styleId="36">
    <w:name w:val="Heading 1 Char"/>
    <w:link w:val="3"/>
    <w:qFormat/>
    <w:uiPriority w:val="9"/>
    <w:rPr>
      <w:rFonts w:ascii="Arial" w:hAnsi="Arial" w:eastAsia="Arial" w:cs="Arial"/>
      <w:sz w:val="40"/>
      <w:szCs w:val="40"/>
    </w:rPr>
  </w:style>
  <w:style w:type="character" w:customStyle="1" w:styleId="37">
    <w:name w:val="Heading 2 Char"/>
    <w:link w:val="4"/>
    <w:qFormat/>
    <w:uiPriority w:val="9"/>
    <w:rPr>
      <w:rFonts w:ascii="Arial" w:hAnsi="Arial" w:eastAsia="Arial" w:cs="Arial"/>
      <w:sz w:val="34"/>
    </w:rPr>
  </w:style>
  <w:style w:type="character" w:customStyle="1" w:styleId="38">
    <w:name w:val="Heading 3 Char"/>
    <w:link w:val="5"/>
    <w:qFormat/>
    <w:uiPriority w:val="9"/>
    <w:rPr>
      <w:rFonts w:ascii="Arial" w:hAnsi="Arial" w:eastAsia="Arial" w:cs="Arial"/>
      <w:sz w:val="30"/>
      <w:szCs w:val="30"/>
    </w:rPr>
  </w:style>
  <w:style w:type="character" w:customStyle="1" w:styleId="39">
    <w:name w:val="Heading 4 Char"/>
    <w:link w:val="6"/>
    <w:qFormat/>
    <w:uiPriority w:val="9"/>
    <w:rPr>
      <w:rFonts w:ascii="Arial" w:hAnsi="Arial" w:eastAsia="Arial" w:cs="Arial"/>
      <w:b/>
      <w:bCs/>
      <w:sz w:val="26"/>
      <w:szCs w:val="26"/>
    </w:rPr>
  </w:style>
  <w:style w:type="character" w:customStyle="1" w:styleId="40">
    <w:name w:val="Heading 5 Char"/>
    <w:link w:val="7"/>
    <w:qFormat/>
    <w:uiPriority w:val="9"/>
    <w:rPr>
      <w:rFonts w:ascii="Arial" w:hAnsi="Arial" w:eastAsia="Arial" w:cs="Arial"/>
      <w:b/>
      <w:bCs/>
      <w:sz w:val="24"/>
      <w:szCs w:val="24"/>
    </w:rPr>
  </w:style>
  <w:style w:type="character" w:customStyle="1" w:styleId="41">
    <w:name w:val="Heading 6 Char"/>
    <w:link w:val="8"/>
    <w:qFormat/>
    <w:uiPriority w:val="9"/>
    <w:rPr>
      <w:rFonts w:ascii="Arial" w:hAnsi="Arial" w:eastAsia="Arial" w:cs="Arial"/>
      <w:b/>
      <w:bCs/>
      <w:sz w:val="22"/>
      <w:szCs w:val="22"/>
    </w:rPr>
  </w:style>
  <w:style w:type="character" w:customStyle="1" w:styleId="42">
    <w:name w:val="Heading 7 Char"/>
    <w:link w:val="9"/>
    <w:qFormat/>
    <w:uiPriority w:val="9"/>
    <w:rPr>
      <w:rFonts w:ascii="Arial" w:hAnsi="Arial" w:eastAsia="Arial" w:cs="Arial"/>
      <w:b/>
      <w:bCs/>
      <w:i/>
      <w:iCs/>
      <w:sz w:val="22"/>
      <w:szCs w:val="22"/>
    </w:rPr>
  </w:style>
  <w:style w:type="character" w:customStyle="1" w:styleId="43">
    <w:name w:val="Heading 8 Char"/>
    <w:link w:val="10"/>
    <w:qFormat/>
    <w:uiPriority w:val="9"/>
    <w:rPr>
      <w:rFonts w:ascii="Arial" w:hAnsi="Arial" w:eastAsia="Arial" w:cs="Arial"/>
      <w:i/>
      <w:iCs/>
      <w:sz w:val="22"/>
      <w:szCs w:val="22"/>
    </w:rPr>
  </w:style>
  <w:style w:type="character" w:customStyle="1" w:styleId="44">
    <w:name w:val="Heading 9 Char"/>
    <w:link w:val="11"/>
    <w:qFormat/>
    <w:uiPriority w:val="9"/>
    <w:rPr>
      <w:rFonts w:ascii="Arial" w:hAnsi="Arial" w:eastAsia="Arial" w:cs="Arial"/>
      <w:i/>
      <w:iCs/>
      <w:sz w:val="21"/>
      <w:szCs w:val="21"/>
    </w:rPr>
  </w:style>
  <w:style w:type="paragraph" w:styleId="45">
    <w:name w:val="List Paragraph"/>
    <w:basedOn w:val="1"/>
    <w:qFormat/>
    <w:uiPriority w:val="34"/>
    <w:pPr>
      <w:ind w:left="720"/>
      <w:contextualSpacing/>
    </w:pPr>
  </w:style>
  <w:style w:type="paragraph" w:styleId="46">
    <w:name w:val="No Spacing"/>
    <w:qFormat/>
    <w:uiPriority w:val="1"/>
    <w:pPr>
      <w:spacing w:before="0" w:after="0" w:line="240" w:lineRule="auto"/>
    </w:pPr>
    <w:rPr>
      <w:rFonts w:hint="default" w:ascii="Times New Roman" w:hAnsi="Times New Roman" w:eastAsia="宋体" w:cs="Times New Roman"/>
    </w:rPr>
  </w:style>
  <w:style w:type="character" w:customStyle="1" w:styleId="47">
    <w:name w:val="Title Char"/>
    <w:link w:val="29"/>
    <w:qFormat/>
    <w:uiPriority w:val="10"/>
    <w:rPr>
      <w:sz w:val="48"/>
      <w:szCs w:val="48"/>
    </w:rPr>
  </w:style>
  <w:style w:type="character" w:customStyle="1" w:styleId="48">
    <w:name w:val="Subtitle Char"/>
    <w:link w:val="23"/>
    <w:qFormat/>
    <w:uiPriority w:val="11"/>
    <w:rPr>
      <w:sz w:val="24"/>
      <w:szCs w:val="24"/>
    </w:rPr>
  </w:style>
  <w:style w:type="paragraph" w:styleId="49">
    <w:name w:val="Quote"/>
    <w:basedOn w:val="1"/>
    <w:next w:val="1"/>
    <w:link w:val="50"/>
    <w:qFormat/>
    <w:uiPriority w:val="29"/>
    <w:pPr>
      <w:ind w:left="720" w:right="720"/>
    </w:pPr>
    <w:rPr>
      <w:i/>
    </w:rPr>
  </w:style>
  <w:style w:type="character" w:customStyle="1" w:styleId="50">
    <w:name w:val="Quote Char"/>
    <w:link w:val="49"/>
    <w:qFormat/>
    <w:uiPriority w:val="29"/>
    <w:rPr>
      <w:i/>
    </w:rPr>
  </w:style>
  <w:style w:type="paragraph" w:styleId="51">
    <w:name w:val="Intense Quote"/>
    <w:basedOn w:val="1"/>
    <w:next w:val="1"/>
    <w:link w:val="52"/>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contextualSpacing w:val="0"/>
    </w:pPr>
    <w:rPr>
      <w:i/>
    </w:rPr>
  </w:style>
  <w:style w:type="character" w:customStyle="1" w:styleId="52">
    <w:name w:val="Intense Quote Char"/>
    <w:link w:val="51"/>
    <w:qFormat/>
    <w:uiPriority w:val="30"/>
    <w:rPr>
      <w:i/>
    </w:rPr>
  </w:style>
  <w:style w:type="character" w:customStyle="1" w:styleId="53">
    <w:name w:val="Header Char"/>
    <w:link w:val="20"/>
    <w:qFormat/>
    <w:uiPriority w:val="99"/>
  </w:style>
  <w:style w:type="character" w:customStyle="1" w:styleId="54">
    <w:name w:val="Footer Char"/>
    <w:link w:val="19"/>
    <w:qFormat/>
    <w:uiPriority w:val="99"/>
  </w:style>
  <w:style w:type="character" w:customStyle="1" w:styleId="55">
    <w:name w:val="Caption Char"/>
    <w:link w:val="19"/>
    <w:qFormat/>
    <w:uiPriority w:val="99"/>
  </w:style>
  <w:style w:type="table" w:customStyle="1" w:styleId="56">
    <w:name w:val="Table Grid Light"/>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57">
    <w:name w:val="Plain Table 1"/>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58">
    <w:name w:val="Plain Table 2"/>
    <w:qFormat/>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59">
    <w:name w:val="Plain Table 3"/>
    <w:qFormat/>
    <w:uiPriority w:val="99"/>
    <w:pPr>
      <w:spacing w:after="0" w:line="240" w:lineRule="auto"/>
    </w:p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0">
    <w:name w:val="Plain Table 4"/>
    <w:qFormat/>
    <w:uiPriority w:val="99"/>
    <w:pPr>
      <w:spacing w:after="0" w:line="240" w:lineRule="auto"/>
    </w:p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1">
    <w:name w:val="Plain Table 5"/>
    <w:qFormat/>
    <w:uiPriority w:val="99"/>
    <w:pPr>
      <w:spacing w:after="0" w:line="240" w:lineRule="auto"/>
    </w:p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2">
    <w:name w:val="Grid Table 1 Light"/>
    <w:qFormat/>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63">
    <w:name w:val="Grid Table 1 Light - Accent 1"/>
    <w:qFormat/>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b/>
        <w:color w:val="404040"/>
      </w:rPr>
      <w:tcPr>
        <w:tcBorders>
          <w:bottom w:val="single" w:color="98B5D8"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64">
    <w:name w:val="Grid Table 1 Light - Accent 2"/>
    <w:qFormat/>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b/>
        <w:color w:val="404040"/>
      </w:rPr>
      <w:tcPr>
        <w:tcBorders>
          <w:bottom w:val="single" w:color="DA989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65">
    <w:name w:val="Grid Table 1 Light - Accent 3"/>
    <w:qFormat/>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b/>
        <w:color w:val="404040"/>
      </w:rPr>
      <w:tcPr>
        <w:tcBorders>
          <w:bottom w:val="single" w:color="C4D79E"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66">
    <w:name w:val="Grid Table 1 Light - Accent 4"/>
    <w:qFormat/>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b/>
        <w:color w:val="404040"/>
      </w:rPr>
      <w:tcPr>
        <w:tcBorders>
          <w:bottom w:val="single" w:color="B4A4C8"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67">
    <w:name w:val="Grid Table 1 Light - Accent 5"/>
    <w:qFormat/>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b/>
        <w:color w:val="404040"/>
      </w:rPr>
      <w:tcPr>
        <w:tcBorders>
          <w:bottom w:val="single" w:color="95CEDD"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68">
    <w:name w:val="Grid Table 1 Light - Accent 6"/>
    <w:qFormat/>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b/>
        <w:color w:val="404040"/>
      </w:rPr>
      <w:tcPr>
        <w:tcBorders>
          <w:bottom w:val="single" w:color="FAC192"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table" w:customStyle="1" w:styleId="69">
    <w:name w:val="Grid Table 2"/>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70">
    <w:name w:val="Grid Table 2 - Accent 1"/>
    <w:qFormat/>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single" w:color="5D8BC2" w:themeColor="accent1" w:themeTint="EA" w:sz="12" w:space="0"/>
          <w:right w:val="nil"/>
        </w:tcBorders>
        <w:shd w:val="clear" w:color="FFFFFF" w:fill="auto"/>
      </w:tcPr>
    </w:tblStylePr>
    <w:tblStylePr w:type="lastRow">
      <w:rPr>
        <w:b/>
        <w:color w:val="404040"/>
      </w:rPr>
      <w:tcPr>
        <w:tcBorders>
          <w:top w:val="single" w:color="5D8BC2"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71">
    <w:name w:val="Grid Table 2 - Accent 2"/>
    <w:qFormat/>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single" w:color="D99795" w:themeColor="accent2" w:themeTint="97" w:sz="12" w:space="0"/>
          <w:right w:val="nil"/>
        </w:tcBorders>
        <w:shd w:val="clear" w:color="FFFFFF" w:fill="auto"/>
      </w:tcPr>
    </w:tblStylePr>
    <w:tblStylePr w:type="lastRow">
      <w:rPr>
        <w:b/>
        <w:color w:val="404040"/>
      </w:rPr>
      <w:tcPr>
        <w:tcBorders>
          <w:top w:val="single" w:color="D9979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72">
    <w:name w:val="Grid Table 2 - Accent 3"/>
    <w:qFormat/>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single" w:color="9BBB59" w:themeColor="accent3" w:themeTint="FE" w:sz="12" w:space="0"/>
          <w:right w:val="nil"/>
        </w:tcBorders>
        <w:shd w:val="clear" w:color="FFFFFF" w:fill="auto"/>
      </w:tcPr>
    </w:tblStylePr>
    <w:tblStylePr w:type="lastRow">
      <w:rPr>
        <w:b/>
        <w:color w:val="404040"/>
      </w:rPr>
      <w:tcPr>
        <w:tcBorders>
          <w:top w:val="single" w:color="9BBB59"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73">
    <w:name w:val="Grid Table 2 - Accent 4"/>
    <w:qFormat/>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single" w:color="B2A1C6" w:themeColor="accent4" w:themeTint="9A" w:sz="12" w:space="0"/>
          <w:right w:val="nil"/>
        </w:tcBorders>
        <w:shd w:val="clear" w:color="FFFFFF" w:fill="auto"/>
      </w:tcPr>
    </w:tblStylePr>
    <w:tblStylePr w:type="lastRow">
      <w:rPr>
        <w:b/>
        <w:color w:val="404040"/>
      </w:rPr>
      <w:tcPr>
        <w:tcBorders>
          <w:top w:val="single" w:color="B2A1C6"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74">
    <w:name w:val="Grid Table 2 - Accent 5"/>
    <w:qFormat/>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single" w:color="4BACC6" w:themeColor="accent5" w:sz="12" w:space="0"/>
          <w:right w:val="nil"/>
        </w:tcBorders>
        <w:shd w:val="clear" w:color="FFFFFF" w:fill="auto"/>
      </w:tcPr>
    </w:tblStylePr>
    <w:tblStylePr w:type="lastRow">
      <w:rPr>
        <w:b/>
        <w:color w:val="404040"/>
      </w:rPr>
      <w:tcPr>
        <w:tcBorders>
          <w:top w:val="single" w:color="4BACC6"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75">
    <w:name w:val="Grid Table 2 - Accent 6"/>
    <w:qFormat/>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single" w:color="F79646" w:themeColor="accent6" w:sz="12" w:space="0"/>
          <w:right w:val="nil"/>
        </w:tcBorders>
        <w:shd w:val="clear" w:color="FFFFFF" w:fill="auto"/>
      </w:tcPr>
    </w:tblStylePr>
    <w:tblStylePr w:type="lastRow">
      <w:rPr>
        <w:b/>
        <w:color w:val="404040"/>
      </w:rPr>
      <w:tcPr>
        <w:tcBorders>
          <w:top w:val="single" w:color="F79646"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76">
    <w:name w:val="Grid Table 3"/>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77">
    <w:name w:val="Grid Table 3 - Accent 1"/>
    <w:qFormat/>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78">
    <w:name w:val="Grid Table 3 - Accent 2"/>
    <w:qFormat/>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79">
    <w:name w:val="Grid Table 3 - Accent 3"/>
    <w:qFormat/>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80">
    <w:name w:val="Grid Table 3 - Accent 4"/>
    <w:qFormat/>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81">
    <w:name w:val="Grid Table 3 - Accent 5"/>
    <w:qFormat/>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82">
    <w:name w:val="Grid Table 3 - Accent 6"/>
    <w:qFormat/>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83">
    <w:name w:val="Grid Table 4"/>
    <w:qFormat/>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4">
    <w:name w:val="Grid Table 4 - Accent 1"/>
    <w:qFormat/>
    <w:uiPriority w:val="5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firstRow">
      <w:rPr>
        <w:rFonts w:ascii="Arial" w:hAnsi="Arial"/>
        <w:b/>
        <w:color w:val="FFFFFF"/>
        <w:sz w:val="22"/>
      </w:rPr>
      <w:tcPr>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shd w:val="clear" w:color="5D8BC2" w:themeColor="accent1" w:themeTint="EA" w:fill="5D8BC2" w:themeFill="accent1" w:themeFillTint="EA"/>
      </w:tcPr>
    </w:tblStylePr>
    <w:tblStylePr w:type="lastRow">
      <w:rPr>
        <w:b/>
        <w:color w:val="404040"/>
      </w:rPr>
      <w:tcPr>
        <w:tcBorders>
          <w:top w:val="single" w:color="5D8BC2"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themeColor="accent1" w:themeTint="32" w:fill="DCE6F2" w:themeFill="accent1" w:themeFillTint="32"/>
      </w:tcPr>
    </w:tblStylePr>
    <w:tblStylePr w:type="band1Horz">
      <w:rPr>
        <w:rFonts w:ascii="Arial" w:hAnsi="Arial"/>
        <w:color w:val="404040"/>
        <w:sz w:val="22"/>
      </w:rPr>
      <w:tcPr>
        <w:shd w:val="clear" w:color="DCE6F2" w:themeColor="accent1" w:themeTint="32" w:fill="DCE6F2" w:themeFill="accent1" w:themeFillTint="32"/>
      </w:tcPr>
    </w:tblStylePr>
  </w:style>
  <w:style w:type="table" w:customStyle="1" w:styleId="85">
    <w:name w:val="Grid Table 4 - Accent 2"/>
    <w:qFormat/>
    <w:uiPriority w:val="5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firstRow">
      <w:rPr>
        <w:rFonts w:ascii="Arial" w:hAnsi="Arial"/>
        <w:b/>
        <w:color w:val="FFFFFF"/>
        <w:sz w:val="22"/>
      </w:rPr>
      <w:tcPr>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shd w:val="clear" w:color="D99795" w:themeColor="accent2" w:themeTint="97" w:fill="D99795" w:themeFill="accent2" w:themeFillTint="97"/>
      </w:tcPr>
    </w:tblStylePr>
    <w:tblStylePr w:type="lastRow">
      <w:rPr>
        <w:b/>
        <w:color w:val="404040"/>
      </w:rPr>
      <w:tcPr>
        <w:tcBorders>
          <w:top w:val="single" w:color="D9979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86">
    <w:name w:val="Grid Table 4 - Accent 3"/>
    <w:qFormat/>
    <w:uiPriority w:val="5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firstRow">
      <w:rPr>
        <w:rFonts w:ascii="Arial" w:hAnsi="Arial"/>
        <w:b/>
        <w:color w:val="FFFFFF"/>
        <w:sz w:val="22"/>
      </w:rPr>
      <w:tcPr>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shd w:val="clear" w:color="9BBB59" w:themeColor="accent3" w:themeTint="FE" w:fill="9BBB59" w:themeFill="accent3" w:themeFillTint="FE"/>
      </w:tcPr>
    </w:tblStylePr>
    <w:tblStylePr w:type="lastRow">
      <w:rPr>
        <w:b/>
        <w:color w:val="404040"/>
      </w:rPr>
      <w:tcPr>
        <w:tcBorders>
          <w:top w:val="single" w:color="9BBB59"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87">
    <w:name w:val="Grid Table 4 - Accent 4"/>
    <w:qFormat/>
    <w:uiPriority w:val="5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firstRow">
      <w:rPr>
        <w:rFonts w:ascii="Arial" w:hAnsi="Arial"/>
        <w:b/>
        <w:color w:val="FFFFFF"/>
        <w:sz w:val="22"/>
      </w:rPr>
      <w:tcPr>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shd w:val="clear" w:color="B2A1C6" w:themeColor="accent4" w:themeTint="9A" w:fill="B2A1C6" w:themeFill="accent4" w:themeFillTint="9A"/>
      </w:tcPr>
    </w:tblStylePr>
    <w:tblStylePr w:type="lastRow">
      <w:rPr>
        <w:b/>
        <w:color w:val="404040"/>
      </w:rPr>
      <w:tcPr>
        <w:tcBorders>
          <w:top w:val="single" w:color="B2A1C6"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88">
    <w:name w:val="Grid Table 4 - Accent 5"/>
    <w:qFormat/>
    <w:uiPriority w:val="5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FFFFFF"/>
        <w:sz w:val="22"/>
      </w:r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shd w:val="clear" w:color="4BACC6" w:themeColor="accent5" w:fill="4BACC6" w:themeFill="accent5"/>
      </w:tcPr>
    </w:tblStylePr>
    <w:tblStylePr w:type="lastRow">
      <w:rPr>
        <w:b/>
        <w:color w:val="404040"/>
      </w:rPr>
      <w:tcPr>
        <w:tcBorders>
          <w:top w:val="single" w:color="4BACC6"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89">
    <w:name w:val="Grid Table 4 - Accent 6"/>
    <w:qFormat/>
    <w:uiPriority w:val="5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FFFFFF"/>
        <w:sz w:val="22"/>
      </w:r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shd w:val="clear" w:color="F79646" w:themeColor="accent6" w:fill="F79646" w:themeFill="accent6"/>
      </w:tcPr>
    </w:tblStylePr>
    <w:tblStylePr w:type="lastRow">
      <w:rPr>
        <w:b/>
        <w:color w:val="404040"/>
      </w:rPr>
      <w:tcPr>
        <w:tcBorders>
          <w:top w:val="single" w:color="F79646"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90">
    <w:name w:val="Grid Table 5 Dark"/>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91">
    <w:name w:val="Grid Table 5 Dark- Accent 1"/>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tcBorders>
          <w:top w:val="single" w:color="FFFFFF" w:themeColor="light1" w:sz="4" w:space="0"/>
        </w:tcBorders>
        <w:shd w:val="clear" w:color="4F81BD" w:themeColor="accent1" w:fill="4F81BD" w:themeFill="accent1"/>
      </w:tcPr>
    </w:tblStylePr>
    <w:tblStylePr w:type="firstCol">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band1Vert">
      <w:tcPr>
        <w:shd w:val="clear" w:color="AEC5E0" w:themeColor="accent1" w:themeTint="75" w:fill="AEC5E0" w:themeFill="accent1" w:themeFillTint="75"/>
      </w:tcPr>
    </w:tblStylePr>
    <w:tblStylePr w:type="band1Horz">
      <w:tcPr>
        <w:shd w:val="clear" w:color="AEC5E0" w:themeColor="accent1" w:themeTint="75" w:fill="AEC5E0" w:themeFill="accent1" w:themeFillTint="75"/>
      </w:tcPr>
    </w:tblStylePr>
  </w:style>
  <w:style w:type="table" w:customStyle="1" w:styleId="92">
    <w:name w:val="Grid Table 5 Dark - Accent 2"/>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tcBorders>
          <w:top w:val="single" w:color="FFFFFF" w:themeColor="light1" w:sz="4" w:space="0"/>
        </w:tcBorders>
        <w:shd w:val="clear" w:color="C0504D" w:themeColor="accent2" w:fill="C0504D" w:themeFill="accent2"/>
      </w:tcPr>
    </w:tblStylePr>
    <w:tblStylePr w:type="firstCol">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band1Vert">
      <w:tcPr>
        <w:shd w:val="clear" w:color="E2AEAD" w:themeColor="accent2" w:themeTint="75" w:fill="E2AEAD" w:themeFill="accent2" w:themeFillTint="75"/>
      </w:tcPr>
    </w:tblStylePr>
    <w:tblStylePr w:type="band1Horz">
      <w:tcPr>
        <w:shd w:val="clear" w:color="E2AEAD" w:themeColor="accent2" w:themeTint="75" w:fill="E2AEAD" w:themeFill="accent2" w:themeFillTint="75"/>
      </w:tcPr>
    </w:tblStylePr>
  </w:style>
  <w:style w:type="table" w:customStyle="1" w:styleId="93">
    <w:name w:val="Grid Table 5 Dark - Accent 3"/>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tcBorders>
          <w:top w:val="single" w:color="FFFFFF" w:themeColor="light1" w:sz="4" w:space="0"/>
        </w:tcBorders>
        <w:shd w:val="clear" w:color="9BBB59" w:themeColor="accent3" w:fill="9BBB59" w:themeFill="accent3"/>
      </w:tcPr>
    </w:tblStylePr>
    <w:tblStylePr w:type="firstCol">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band1Vert">
      <w:tcPr>
        <w:shd w:val="clear" w:color="D1DFB2" w:themeColor="accent3" w:themeTint="75" w:fill="D1DFB2" w:themeFill="accent3" w:themeFillTint="75"/>
      </w:tcPr>
    </w:tblStylePr>
    <w:tblStylePr w:type="band1Horz">
      <w:tcPr>
        <w:shd w:val="clear" w:color="D1DFB2" w:themeColor="accent3" w:themeTint="75" w:fill="D1DFB2" w:themeFill="accent3" w:themeFillTint="75"/>
      </w:tcPr>
    </w:tblStylePr>
  </w:style>
  <w:style w:type="table" w:customStyle="1" w:styleId="94">
    <w:name w:val="Grid Table 5 Dark- Accent 4"/>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tcBorders>
          <w:top w:val="single" w:color="FFFFFF" w:themeColor="light1" w:sz="4" w:space="0"/>
        </w:tcBorders>
        <w:shd w:val="clear" w:color="8064A2" w:themeColor="accent4" w:fill="8064A2" w:themeFill="accent4"/>
      </w:tcPr>
    </w:tblStylePr>
    <w:tblStylePr w:type="firstCol">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band1Vert">
      <w:tcPr>
        <w:shd w:val="clear" w:color="C4B7D4" w:themeColor="accent4" w:themeTint="75" w:fill="C4B7D4" w:themeFill="accent4" w:themeFillTint="75"/>
      </w:tcPr>
    </w:tblStylePr>
    <w:tblStylePr w:type="band1Horz">
      <w:tcPr>
        <w:shd w:val="clear" w:color="C4B7D4" w:themeColor="accent4" w:themeTint="75" w:fill="C4B7D4" w:themeFill="accent4" w:themeFillTint="75"/>
      </w:tcPr>
    </w:tblStylePr>
  </w:style>
  <w:style w:type="table" w:customStyle="1" w:styleId="95">
    <w:name w:val="Grid Table 5 Dark - Accent 5"/>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tcBorders>
          <w:top w:val="single" w:color="FFFFFF" w:themeColor="light1" w:sz="4" w:space="0"/>
        </w:tcBorders>
        <w:shd w:val="clear" w:color="4BACC6" w:themeColor="accent5" w:fill="4BACC6" w:themeFill="accent5"/>
      </w:tcPr>
    </w:tblStylePr>
    <w:tblStylePr w:type="firstCol">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band1Vert">
      <w:tcPr>
        <w:shd w:val="clear" w:color="ACD8E4" w:themeColor="accent5" w:themeTint="75" w:fill="ACD8E4" w:themeFill="accent5" w:themeFillTint="75"/>
      </w:tcPr>
    </w:tblStylePr>
    <w:tblStylePr w:type="band1Horz">
      <w:tcPr>
        <w:shd w:val="clear" w:color="ACD8E4" w:themeColor="accent5" w:themeTint="75" w:fill="ACD8E4" w:themeFill="accent5" w:themeFillTint="75"/>
      </w:tcPr>
    </w:tblStylePr>
  </w:style>
  <w:style w:type="table" w:customStyle="1" w:styleId="96">
    <w:name w:val="Grid Table 5 Dark - Accent 6"/>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tcBorders>
          <w:top w:val="single" w:color="FFFFFF" w:themeColor="light1" w:sz="4" w:space="0"/>
        </w:tcBorders>
        <w:shd w:val="clear" w:color="F79646" w:themeColor="accent6" w:fill="F79646" w:themeFill="accent6"/>
      </w:tcPr>
    </w:tblStylePr>
    <w:tblStylePr w:type="firstCol">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band1Vert">
      <w:tcPr>
        <w:shd w:val="clear" w:color="FBCEAA" w:themeColor="accent6" w:themeTint="75" w:fill="FBCEAA" w:themeFill="accent6" w:themeFillTint="75"/>
      </w:tcPr>
    </w:tblStylePr>
    <w:tblStylePr w:type="band1Horz">
      <w:tcPr>
        <w:shd w:val="clear" w:color="FBCEAA" w:themeColor="accent6" w:themeTint="75" w:fill="FBCEAA" w:themeFill="accent6" w:themeFillTint="75"/>
      </w:tcPr>
    </w:tblStylePr>
  </w:style>
  <w:style w:type="table" w:customStyle="1" w:styleId="97">
    <w:name w:val="Grid Table 6 Colorful"/>
    <w:qFormat/>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7E7E7E" w:themeColor="text1" w:themeShade="95" w:themeTint="80"/>
      </w:rPr>
      <w:tcPr>
        <w:tcBorders>
          <w:bottom w:val="single" w:color="7E7E7E" w:themeColor="text1" w:themeTint="80" w:sz="12" w:space="0"/>
        </w:tcBorders>
      </w:tcPr>
    </w:tblStylePr>
    <w:tblStylePr w:type="lastRow">
      <w:rPr>
        <w:b/>
        <w:color w:val="7E7E7E" w:themeColor="text1" w:themeShade="95" w:themeTint="80"/>
      </w:rPr>
    </w:tblStylePr>
    <w:tblStylePr w:type="firstCol">
      <w:rPr>
        <w:b/>
        <w:color w:val="7E7E7E" w:themeColor="text1" w:themeShade="95" w:themeTint="80"/>
      </w:rPr>
    </w:tblStylePr>
    <w:tblStylePr w:type="lastCol">
      <w:rPr>
        <w:b/>
        <w:color w:val="7E7E7E" w:themeColor="text1" w:themeShade="95" w:themeTint="80"/>
      </w:rPr>
    </w:tblStylePr>
    <w:tblStylePr w:type="band1Vert">
      <w:tcPr>
        <w:shd w:val="clear" w:color="CACACA" w:themeColor="text1" w:themeTint="34" w:fill="CACACA" w:themeFill="text1" w:themeFillTint="34"/>
      </w:tcPr>
    </w:tblStylePr>
    <w:tblStylePr w:type="band1Horz">
      <w:rPr>
        <w:rFonts w:ascii="Arial" w:hAnsi="Arial"/>
        <w:color w:val="7E7E7E" w:themeColor="text1" w:themeShade="95" w:themeTint="80"/>
        <w:sz w:val="22"/>
      </w:rPr>
      <w:tcPr>
        <w:shd w:val="clear" w:color="CACACA" w:themeColor="text1" w:themeTint="34" w:fill="CACACA" w:themeFill="text1" w:themeFillTint="34"/>
      </w:tcPr>
    </w:tblStylePr>
    <w:tblStylePr w:type="band2Horz">
      <w:rPr>
        <w:rFonts w:ascii="Arial" w:hAnsi="Arial"/>
        <w:color w:val="7E7E7E" w:themeColor="text1" w:themeShade="95" w:themeTint="80"/>
        <w:sz w:val="22"/>
      </w:rPr>
    </w:tblStylePr>
  </w:style>
  <w:style w:type="table" w:customStyle="1" w:styleId="98">
    <w:name w:val="Grid Table 6 Colorful - Accent 1"/>
    <w:qFormat/>
    <w:uiPriority w:val="99"/>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b/>
        <w:color w:val="A6BFDD" w:themeColor="accent1" w:themeShade="95" w:themeTint="80"/>
      </w:rPr>
      <w:tcPr>
        <w:tcBorders>
          <w:bottom w:val="single" w:color="A6BFDD" w:themeColor="accent1" w:themeTint="80" w:sz="12" w:space="0"/>
        </w:tcBorders>
      </w:tcPr>
    </w:tblStylePr>
    <w:tblStylePr w:type="lastRow">
      <w:rPr>
        <w:b/>
        <w:color w:val="A6BFDD" w:themeColor="accent1" w:themeShade="95" w:themeTint="80"/>
      </w:rPr>
    </w:tblStylePr>
    <w:tblStylePr w:type="firstCol">
      <w:rPr>
        <w:b/>
        <w:color w:val="A6BFDD" w:themeColor="accent1" w:themeShade="95" w:themeTint="80"/>
      </w:rPr>
    </w:tblStylePr>
    <w:tblStylePr w:type="lastCol">
      <w:rPr>
        <w:b/>
        <w:color w:val="A6BFDD" w:themeColor="accent1" w:themeShade="95" w:themeTint="80"/>
      </w:rPr>
    </w:tblStylePr>
    <w:tblStylePr w:type="band1Vert">
      <w:tcPr>
        <w:shd w:val="clear" w:color="DBE5F1" w:themeColor="accent1" w:themeTint="34" w:fill="DBE5F1" w:themeFill="accent1" w:themeFillTint="34"/>
      </w:tcPr>
    </w:tblStylePr>
    <w:tblStylePr w:type="band1Horz">
      <w:rPr>
        <w:rFonts w:ascii="Arial" w:hAnsi="Arial"/>
        <w:color w:val="A6BFDD" w:themeColor="accent1" w:themeShade="95" w:themeTint="80"/>
        <w:sz w:val="22"/>
      </w:rPr>
      <w:tcPr>
        <w:shd w:val="clear" w:color="DBE5F1" w:themeColor="accent1" w:themeTint="34" w:fill="DBE5F1" w:themeFill="accent1" w:themeFillTint="34"/>
      </w:tcPr>
    </w:tblStylePr>
    <w:tblStylePr w:type="band2Horz">
      <w:rPr>
        <w:rFonts w:ascii="Arial" w:hAnsi="Arial"/>
        <w:color w:val="A6BFDD" w:themeColor="accent1" w:themeShade="95" w:themeTint="80"/>
        <w:sz w:val="22"/>
      </w:rPr>
    </w:tblStylePr>
  </w:style>
  <w:style w:type="table" w:customStyle="1" w:styleId="99">
    <w:name w:val="Grid Table 6 Colorful - Accent 2"/>
    <w:qFormat/>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D99795" w:themeColor="accent2" w:themeShade="95" w:themeTint="97"/>
      </w:rPr>
      <w:tcPr>
        <w:tcBorders>
          <w:bottom w:val="single" w:color="D99795" w:themeColor="accent2" w:themeTint="97" w:sz="12" w:space="0"/>
        </w:tcBorders>
      </w:tcPr>
    </w:tblStylePr>
    <w:tblStylePr w:type="lastRow">
      <w:rPr>
        <w:b/>
        <w:color w:val="D99795" w:themeColor="accent2" w:themeShade="95" w:themeTint="97"/>
      </w:rPr>
    </w:tblStylePr>
    <w:tblStylePr w:type="firstCol">
      <w:rPr>
        <w:b/>
        <w:color w:val="D99795" w:themeColor="accent2" w:themeShade="95" w:themeTint="97"/>
      </w:rPr>
    </w:tblStylePr>
    <w:tblStylePr w:type="lastCol">
      <w:rPr>
        <w:b/>
        <w:color w:val="D99795" w:themeColor="accent2" w:themeShade="95" w:themeTint="97"/>
      </w:rPr>
    </w:tblStylePr>
    <w:tblStylePr w:type="band1Vert">
      <w:tcPr>
        <w:shd w:val="clear" w:color="F2DCDC" w:themeColor="accent2" w:themeTint="32" w:fill="F2DCDC" w:themeFill="accent2" w:themeFillTint="32"/>
      </w:tcPr>
    </w:tblStylePr>
    <w:tblStylePr w:type="band1Horz">
      <w:rPr>
        <w:rFonts w:ascii="Arial" w:hAnsi="Arial"/>
        <w:color w:val="D99795" w:themeColor="accent2" w:themeShade="95" w:themeTint="97"/>
        <w:sz w:val="22"/>
      </w:rPr>
      <w:tcPr>
        <w:shd w:val="clear" w:color="F2DCDC" w:themeColor="accent2" w:themeTint="32" w:fill="F2DCDC" w:themeFill="accent2" w:themeFillTint="32"/>
      </w:tcPr>
    </w:tblStylePr>
    <w:tblStylePr w:type="band2Horz">
      <w:rPr>
        <w:rFonts w:ascii="Arial" w:hAnsi="Arial"/>
        <w:color w:val="D99795" w:themeColor="accent2" w:themeShade="95" w:themeTint="97"/>
        <w:sz w:val="22"/>
      </w:rPr>
    </w:tblStylePr>
  </w:style>
  <w:style w:type="table" w:customStyle="1" w:styleId="100">
    <w:name w:val="Grid Table 6 Colorful - Accent 3"/>
    <w:qFormat/>
    <w:uiPriority w:val="99"/>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9BBB59" w:themeColor="accent3" w:themeShade="95" w:themeTint="FE"/>
      </w:rPr>
      <w:tcPr>
        <w:tcBorders>
          <w:bottom w:val="single" w:color="9BBB59" w:themeColor="accent3" w:themeTint="FE" w:sz="12" w:space="0"/>
        </w:tcBorders>
      </w:tcPr>
    </w:tblStylePr>
    <w:tblStylePr w:type="lastRow">
      <w:rPr>
        <w:b/>
        <w:color w:val="9BBB59" w:themeColor="accent3" w:themeShade="95" w:themeTint="FE"/>
      </w:rPr>
    </w:tblStylePr>
    <w:tblStylePr w:type="firstCol">
      <w:rPr>
        <w:b/>
        <w:color w:val="9BBB59" w:themeColor="accent3" w:themeShade="95" w:themeTint="FE"/>
      </w:rPr>
    </w:tblStylePr>
    <w:tblStylePr w:type="lastCol">
      <w:rPr>
        <w:b/>
        <w:color w:val="9BBB59" w:themeColor="accent3" w:themeShade="95" w:themeTint="FE"/>
      </w:r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Shade="95" w:themeTint="FE"/>
        <w:sz w:val="22"/>
      </w:rPr>
      <w:tcPr>
        <w:shd w:val="clear" w:color="EAF1DD" w:themeColor="accent3" w:themeTint="34" w:fill="EAF1DD" w:themeFill="accent3" w:themeFillTint="34"/>
      </w:tcPr>
    </w:tblStylePr>
    <w:tblStylePr w:type="band2Horz">
      <w:rPr>
        <w:rFonts w:ascii="Arial" w:hAnsi="Arial"/>
        <w:color w:val="9BBB59" w:themeColor="accent3" w:themeShade="95" w:themeTint="FE"/>
        <w:sz w:val="22"/>
      </w:rPr>
    </w:tblStylePr>
  </w:style>
  <w:style w:type="table" w:customStyle="1" w:styleId="101">
    <w:name w:val="Grid Table 6 Colorful - Accent 4"/>
    <w:qFormat/>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B2A1C6" w:themeColor="accent4" w:themeShade="95" w:themeTint="9A"/>
      </w:rPr>
      <w:tcPr>
        <w:tcBorders>
          <w:bottom w:val="single" w:color="B2A1C6" w:themeColor="accent4" w:themeTint="9A" w:sz="12" w:space="0"/>
        </w:tcBorders>
      </w:tcPr>
    </w:tblStylePr>
    <w:tblStylePr w:type="lastRow">
      <w:rPr>
        <w:b/>
        <w:color w:val="B2A1C6" w:themeColor="accent4" w:themeShade="95" w:themeTint="9A"/>
      </w:rPr>
    </w:tblStylePr>
    <w:tblStylePr w:type="firstCol">
      <w:rPr>
        <w:b/>
        <w:color w:val="B2A1C6" w:themeColor="accent4" w:themeShade="95" w:themeTint="9A"/>
      </w:rPr>
    </w:tblStylePr>
    <w:tblStylePr w:type="lastCol">
      <w:rPr>
        <w:b/>
        <w:color w:val="B2A1C6" w:themeColor="accent4" w:themeShade="95" w:themeTint="9A"/>
      </w:rPr>
    </w:tblStylePr>
    <w:tblStylePr w:type="band1Vert">
      <w:tcPr>
        <w:shd w:val="clear" w:color="E5DFEC" w:themeColor="accent4" w:themeTint="34" w:fill="E5DFEC" w:themeFill="accent4" w:themeFillTint="34"/>
      </w:tcPr>
    </w:tblStylePr>
    <w:tblStylePr w:type="band1Horz">
      <w:rPr>
        <w:rFonts w:ascii="Arial" w:hAnsi="Arial"/>
        <w:color w:val="B2A1C6" w:themeColor="accent4" w:themeShade="95" w:themeTint="9A"/>
        <w:sz w:val="22"/>
      </w:rPr>
      <w:tcPr>
        <w:shd w:val="clear" w:color="E5DFEC" w:themeColor="accent4" w:themeTint="34" w:fill="E5DFEC" w:themeFill="accent4" w:themeFillTint="34"/>
      </w:tcPr>
    </w:tblStylePr>
    <w:tblStylePr w:type="band2Horz">
      <w:rPr>
        <w:rFonts w:ascii="Arial" w:hAnsi="Arial"/>
        <w:color w:val="B2A1C6" w:themeColor="accent4" w:themeShade="95" w:themeTint="9A"/>
        <w:sz w:val="22"/>
      </w:rPr>
    </w:tblStylePr>
  </w:style>
  <w:style w:type="table" w:customStyle="1" w:styleId="102">
    <w:name w:val="Grid Table 6 Colorful - Accent 5"/>
    <w:qFormat/>
    <w:uiPriority w:val="99"/>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firstRow">
      <w:rPr>
        <w:b/>
        <w:color w:val="266779" w:themeColor="accent5" w:themeShade="95"/>
      </w:rPr>
      <w:tcPr>
        <w:tcBorders>
          <w:bottom w:val="single" w:color="4BACC6" w:themeColor="accent5" w:sz="12" w:space="0"/>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cPr>
        <w:shd w:val="clear" w:color="DAEEF3" w:themeColor="accent5" w:themeTint="34" w:fill="DAEEF3" w:themeFill="accent5" w:themeFillTint="34"/>
      </w:tcPr>
    </w:tblStyle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customStyle="1" w:styleId="103">
    <w:name w:val="Grid Table 6 Colorful - Accent 6"/>
    <w:qFormat/>
    <w:uiPriority w:val="99"/>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firstRow">
      <w:rPr>
        <w:b/>
        <w:color w:val="266779" w:themeColor="accent5" w:themeShade="95"/>
      </w:rPr>
      <w:tcPr>
        <w:tcBorders>
          <w:bottom w:val="single" w:color="F79646" w:themeColor="accent6" w:sz="12" w:space="0"/>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cPr>
        <w:shd w:val="clear" w:color="FDE9D9" w:themeColor="accent6" w:themeTint="34" w:fill="FDE9D9" w:themeFill="accent6" w:themeFillTint="34"/>
      </w:tcPr>
    </w:tblStylePr>
    <w:tblStylePr w:type="band1Horz">
      <w:rPr>
        <w:rFonts w:ascii="Arial" w:hAnsi="Arial"/>
        <w:color w:val="266779" w:themeColor="accent5" w:themeShade="95"/>
        <w:sz w:val="22"/>
      </w:rPr>
      <w:tcPr>
        <w:shd w:val="clear" w:color="FDE9D9" w:themeColor="accent6" w:themeTint="34" w:fill="FDE9D9" w:themeFill="accent6" w:themeFillTint="34"/>
      </w:tcPr>
    </w:tblStylePr>
    <w:tblStylePr w:type="band2Horz">
      <w:rPr>
        <w:rFonts w:ascii="Arial" w:hAnsi="Arial"/>
        <w:color w:val="266779" w:themeColor="accent5" w:themeShade="95"/>
        <w:sz w:val="22"/>
      </w:rPr>
    </w:tblStylePr>
  </w:style>
  <w:style w:type="table" w:customStyle="1" w:styleId="104">
    <w:name w:val="Grid Table 7 Colorful"/>
    <w:qFormat/>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7E7E7E" w:themeColor="text1" w:themeShade="95" w:themeTint="80"/>
        <w:sz w:val="22"/>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7E7E7E" w:themeColor="text1" w:themeShade="95" w:themeTint="80"/>
        <w:sz w:val="22"/>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7E7E7E" w:themeColor="text1" w:themeShade="95" w:themeTint="80"/>
        <w:sz w:val="22"/>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7E7E7E" w:themeColor="text1" w:themeShade="95" w:themeTint="80"/>
        <w:sz w:val="22"/>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7E7E7E" w:themeColor="text1" w:themeShade="95" w:themeTint="80"/>
        <w:sz w:val="22"/>
      </w:rPr>
      <w:tcPr>
        <w:shd w:val="clear" w:color="F1F1F1" w:themeColor="text1" w:themeTint="0D" w:fill="F1F1F1" w:themeFill="text1" w:themeFillTint="0D"/>
      </w:tcPr>
    </w:tblStylePr>
    <w:tblStylePr w:type="band2Horz">
      <w:rPr>
        <w:rFonts w:ascii="Arial" w:hAnsi="Arial"/>
        <w:color w:val="7E7E7E" w:themeColor="text1" w:themeShade="95" w:themeTint="80"/>
        <w:sz w:val="22"/>
      </w:rPr>
    </w:tblStylePr>
  </w:style>
  <w:style w:type="table" w:customStyle="1" w:styleId="105">
    <w:name w:val="Grid Table 7 Colorful - Accent 1"/>
    <w:qFormat/>
    <w:uiPriority w:val="99"/>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rFonts w:ascii="Arial" w:hAnsi="Arial"/>
        <w:b/>
        <w:color w:val="A6BFDD" w:themeColor="accent1" w:themeShade="95" w:themeTint="80"/>
        <w:sz w:val="22"/>
      </w:rPr>
      <w:tcPr>
        <w:tcBorders>
          <w:top w:val="nil"/>
          <w:left w:val="nil"/>
          <w:bottom w:val="single" w:color="A6BFDD" w:themeColor="accent1" w:themeTint="80" w:sz="4" w:space="0"/>
          <w:right w:val="nil"/>
        </w:tcBorders>
        <w:shd w:val="clear" w:color="FFFFFF" w:themeColor="light1" w:fill="FFFFFF" w:themeFill="light1"/>
      </w:tcPr>
    </w:tblStylePr>
    <w:tblStylePr w:type="lastRow">
      <w:rPr>
        <w:rFonts w:ascii="Arial" w:hAnsi="Arial"/>
        <w:b/>
        <w:color w:val="A6BFDD" w:themeColor="accent1" w:themeShade="95" w:themeTint="80"/>
        <w:sz w:val="22"/>
      </w:rPr>
      <w:tcPr>
        <w:tcBorders>
          <w:top w:val="single" w:color="A6BFDD"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6BFDD" w:themeColor="accent1" w:themeShade="95" w:themeTint="80"/>
        <w:sz w:val="22"/>
      </w:rPr>
      <w:tcPr>
        <w:tcBorders>
          <w:top w:val="nil"/>
          <w:left w:val="nil"/>
          <w:bottom w:val="nil"/>
          <w:right w:val="single" w:color="A6BFDD" w:themeColor="accent1" w:themeTint="80" w:sz="4" w:space="0"/>
        </w:tcBorders>
        <w:shd w:val="clear" w:color="FFFFFF" w:fill="auto"/>
      </w:tcPr>
    </w:tblStylePr>
    <w:tblStylePr w:type="lastCol">
      <w:rPr>
        <w:rFonts w:ascii="Arial" w:hAnsi="Arial"/>
        <w:i/>
        <w:color w:val="A6BFDD" w:themeColor="accent1" w:themeShade="95" w:themeTint="80"/>
        <w:sz w:val="22"/>
      </w:rPr>
      <w:tcPr>
        <w:tcBorders>
          <w:top w:val="nil"/>
          <w:left w:val="single" w:color="A6BFDD" w:themeColor="accent1" w:themeTint="80" w:sz="4" w:space="0"/>
          <w:bottom w:val="nil"/>
          <w:right w:val="nil"/>
        </w:tcBorders>
        <w:shd w:val="clear" w:color="FFFFFF" w:fill="auto"/>
      </w:tcPr>
    </w:tblStylePr>
    <w:tblStylePr w:type="band1Vert">
      <w:tcPr>
        <w:shd w:val="clear" w:color="DBE5F1" w:themeColor="accent1" w:themeTint="34" w:fill="DBE5F1" w:themeFill="accent1" w:themeFillTint="34"/>
      </w:tcPr>
    </w:tblStylePr>
    <w:tblStylePr w:type="band1Horz">
      <w:rPr>
        <w:rFonts w:ascii="Arial" w:hAnsi="Arial"/>
        <w:color w:val="A6BFDD" w:themeColor="accent1" w:themeShade="95" w:themeTint="80"/>
        <w:sz w:val="22"/>
      </w:rPr>
      <w:tcPr>
        <w:shd w:val="clear" w:color="DBE5F1" w:themeColor="accent1" w:themeTint="34" w:fill="DBE5F1" w:themeFill="accent1" w:themeFillTint="34"/>
      </w:tcPr>
    </w:tblStylePr>
    <w:tblStylePr w:type="band2Horz">
      <w:rPr>
        <w:rFonts w:ascii="Arial" w:hAnsi="Arial"/>
        <w:color w:val="A6BFDD" w:themeColor="accent1" w:themeShade="95" w:themeTint="80"/>
        <w:sz w:val="22"/>
      </w:rPr>
    </w:tblStylePr>
  </w:style>
  <w:style w:type="table" w:customStyle="1" w:styleId="106">
    <w:name w:val="Grid Table 7 Colorful - Accent 2"/>
    <w:qFormat/>
    <w:uiPriority w:val="99"/>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rFonts w:ascii="Arial" w:hAnsi="Arial"/>
        <w:b/>
        <w:color w:val="D99795" w:themeColor="accent2" w:themeShade="95" w:themeTint="97"/>
        <w:sz w:val="22"/>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b/>
        <w:color w:val="D99795" w:themeColor="accent2" w:themeShade="95" w:themeTint="97"/>
        <w:sz w:val="22"/>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99795" w:themeColor="accent2" w:themeShade="95" w:themeTint="97"/>
        <w:sz w:val="22"/>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99795" w:themeColor="accent2" w:themeShade="95" w:themeTint="97"/>
        <w:sz w:val="22"/>
      </w:rPr>
      <w:tcPr>
        <w:tcBorders>
          <w:top w:val="nil"/>
          <w:left w:val="single" w:color="D99795" w:themeColor="accent2" w:themeTint="97" w:sz="4" w:space="0"/>
          <w:bottom w:val="nil"/>
          <w:right w:val="nil"/>
        </w:tcBorders>
        <w:shd w:val="clear" w:color="FFFFFF" w:fill="auto"/>
      </w:tcPr>
    </w:tblStylePr>
    <w:tblStylePr w:type="band1Vert">
      <w:tcPr>
        <w:shd w:val="clear" w:color="F2DCDC" w:themeColor="accent2" w:themeTint="32" w:fill="F2DCDC" w:themeFill="accent2" w:themeFillTint="32"/>
      </w:tcPr>
    </w:tblStylePr>
    <w:tblStylePr w:type="band1Horz">
      <w:rPr>
        <w:rFonts w:ascii="Arial" w:hAnsi="Arial"/>
        <w:color w:val="D99795" w:themeColor="accent2" w:themeShade="95" w:themeTint="97"/>
        <w:sz w:val="22"/>
      </w:rPr>
      <w:tcPr>
        <w:shd w:val="clear" w:color="F2DCDC" w:themeColor="accent2" w:themeTint="32" w:fill="F2DCDC" w:themeFill="accent2" w:themeFillTint="32"/>
      </w:tcPr>
    </w:tblStylePr>
    <w:tblStylePr w:type="band2Horz">
      <w:rPr>
        <w:rFonts w:ascii="Arial" w:hAnsi="Arial"/>
        <w:color w:val="D99795" w:themeColor="accent2" w:themeShade="95" w:themeTint="97"/>
        <w:sz w:val="22"/>
      </w:rPr>
    </w:tblStylePr>
  </w:style>
  <w:style w:type="table" w:customStyle="1" w:styleId="107">
    <w:name w:val="Grid Table 7 Colorful - Accent 3"/>
    <w:qFormat/>
    <w:uiPriority w:val="99"/>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rFonts w:ascii="Arial" w:hAnsi="Arial"/>
        <w:b/>
        <w:color w:val="9BBB59" w:themeColor="accent3" w:themeShade="95" w:themeTint="FE"/>
        <w:sz w:val="22"/>
      </w:rPr>
      <w:tcPr>
        <w:tcBorders>
          <w:top w:val="nil"/>
          <w:left w:val="nil"/>
          <w:bottom w:val="single" w:color="9BBB59" w:themeColor="accent3" w:themeTint="FE" w:sz="4" w:space="0"/>
          <w:right w:val="nil"/>
        </w:tcBorders>
        <w:shd w:val="clear" w:color="FFFFFF" w:themeColor="light1" w:fill="FFFFFF" w:themeFill="light1"/>
      </w:tcPr>
    </w:tblStylePr>
    <w:tblStylePr w:type="lastRow">
      <w:rPr>
        <w:rFonts w:ascii="Arial" w:hAnsi="Arial"/>
        <w:b/>
        <w:color w:val="9BBB59" w:themeColor="accent3" w:themeShade="95" w:themeTint="FE"/>
        <w:sz w:val="22"/>
      </w:rPr>
      <w:tcPr>
        <w:tcBorders>
          <w:top w:val="single" w:color="9BBB59"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9BBB59" w:themeColor="accent3" w:themeShade="95" w:themeTint="FE"/>
        <w:sz w:val="22"/>
      </w:rPr>
      <w:tcPr>
        <w:tcBorders>
          <w:top w:val="nil"/>
          <w:left w:val="nil"/>
          <w:bottom w:val="nil"/>
          <w:right w:val="single" w:color="9BBB59" w:themeColor="accent3" w:themeTint="FE" w:sz="4" w:space="0"/>
        </w:tcBorders>
        <w:shd w:val="clear" w:color="FFFFFF" w:fill="auto"/>
      </w:tcPr>
    </w:tblStylePr>
    <w:tblStylePr w:type="lastCol">
      <w:rPr>
        <w:rFonts w:ascii="Arial" w:hAnsi="Arial"/>
        <w:i/>
        <w:color w:val="9BBB59" w:themeColor="accent3" w:themeShade="95" w:themeTint="FE"/>
        <w:sz w:val="22"/>
      </w:rPr>
      <w:tcPr>
        <w:tcBorders>
          <w:top w:val="nil"/>
          <w:left w:val="single" w:color="9BBB59" w:themeColor="accent3" w:themeTint="FE" w:sz="4" w:space="0"/>
          <w:bottom w:val="nil"/>
          <w:right w:val="nil"/>
        </w:tcBorders>
        <w:shd w:val="clear" w:color="FFFFFF" w:fill="auto"/>
      </w:tc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Shade="95" w:themeTint="FE"/>
        <w:sz w:val="22"/>
      </w:rPr>
      <w:tcPr>
        <w:shd w:val="clear" w:color="EAF1DD" w:themeColor="accent3" w:themeTint="34" w:fill="EAF1DD" w:themeFill="accent3" w:themeFillTint="34"/>
      </w:tcPr>
    </w:tblStylePr>
    <w:tblStylePr w:type="band2Horz">
      <w:rPr>
        <w:rFonts w:ascii="Arial" w:hAnsi="Arial"/>
        <w:color w:val="9BBB59" w:themeColor="accent3" w:themeShade="95" w:themeTint="FE"/>
        <w:sz w:val="22"/>
      </w:rPr>
    </w:tblStylePr>
  </w:style>
  <w:style w:type="table" w:customStyle="1" w:styleId="108">
    <w:name w:val="Grid Table 7 Colorful - Accent 4"/>
    <w:qFormat/>
    <w:uiPriority w:val="99"/>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rFonts w:ascii="Arial" w:hAnsi="Arial"/>
        <w:b/>
        <w:color w:val="B2A1C6" w:themeColor="accent4" w:themeShade="95" w:themeTint="9A"/>
        <w:sz w:val="22"/>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b/>
        <w:color w:val="B2A1C6" w:themeColor="accent4" w:themeShade="95" w:themeTint="9A"/>
        <w:sz w:val="22"/>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2A1C6" w:themeColor="accent4" w:themeShade="95" w:themeTint="9A"/>
        <w:sz w:val="22"/>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2A1C6" w:themeColor="accent4" w:themeShade="95" w:themeTint="9A"/>
        <w:sz w:val="22"/>
      </w:rPr>
      <w:tcPr>
        <w:tcBorders>
          <w:top w:val="nil"/>
          <w:left w:val="single" w:color="B2A1C6" w:themeColor="accent4" w:themeTint="9A" w:sz="4" w:space="0"/>
          <w:bottom w:val="nil"/>
          <w:right w:val="nil"/>
        </w:tcBorders>
        <w:shd w:val="clear" w:color="FFFFFF" w:fill="auto"/>
      </w:tcPr>
    </w:tblStylePr>
    <w:tblStylePr w:type="band1Vert">
      <w:tcPr>
        <w:shd w:val="clear" w:color="E5DFEC" w:themeColor="accent4" w:themeTint="34" w:fill="E5DFEC" w:themeFill="accent4" w:themeFillTint="34"/>
      </w:tcPr>
    </w:tblStylePr>
    <w:tblStylePr w:type="band1Horz">
      <w:rPr>
        <w:rFonts w:ascii="Arial" w:hAnsi="Arial"/>
        <w:color w:val="B2A1C6" w:themeColor="accent4" w:themeShade="95" w:themeTint="9A"/>
        <w:sz w:val="22"/>
      </w:rPr>
      <w:tcPr>
        <w:shd w:val="clear" w:color="E5DFEC" w:themeColor="accent4" w:themeTint="34" w:fill="E5DFEC" w:themeFill="accent4" w:themeFillTint="34"/>
      </w:tcPr>
    </w:tblStylePr>
    <w:tblStylePr w:type="band2Horz">
      <w:rPr>
        <w:rFonts w:ascii="Arial" w:hAnsi="Arial"/>
        <w:color w:val="B2A1C6" w:themeColor="accent4" w:themeShade="95" w:themeTint="9A"/>
        <w:sz w:val="22"/>
      </w:rPr>
    </w:tblStylePr>
  </w:style>
  <w:style w:type="table" w:customStyle="1" w:styleId="109">
    <w:name w:val="Grid Table 7 Colorful - Accent 5"/>
    <w:qFormat/>
    <w:uiPriority w:val="99"/>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266779" w:themeColor="accent5" w:themeShade="95"/>
        <w:sz w:val="22"/>
      </w:rPr>
      <w:tcPr>
        <w:tcBorders>
          <w:top w:val="nil"/>
          <w:left w:val="nil"/>
          <w:bottom w:val="single" w:color="99D0DE" w:themeColor="accent5" w:themeTint="90" w:sz="4" w:space="0"/>
          <w:right w:val="nil"/>
        </w:tcBorders>
        <w:shd w:val="clear" w:color="FFFFFF" w:themeColor="light1" w:fill="FFFFFF" w:themeFill="light1"/>
      </w:tcPr>
    </w:tblStylePr>
    <w:tblStylePr w:type="lastRow">
      <w:rPr>
        <w:rFonts w:ascii="Arial" w:hAnsi="Arial"/>
        <w:b/>
        <w:color w:val="266779" w:themeColor="accent5" w:themeShade="95"/>
        <w:sz w:val="22"/>
      </w:rPr>
      <w:tcPr>
        <w:tcBorders>
          <w:top w:val="single" w:color="99D0DE"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66779" w:themeColor="accent5" w:themeShade="95"/>
        <w:sz w:val="22"/>
      </w:rPr>
      <w:tcPr>
        <w:tcBorders>
          <w:top w:val="nil"/>
          <w:left w:val="nil"/>
          <w:bottom w:val="nil"/>
          <w:right w:val="single" w:color="99D0DE" w:themeColor="accent5" w:themeTint="90" w:sz="4" w:space="0"/>
        </w:tcBorders>
        <w:shd w:val="clear" w:color="FFFFFF" w:fill="auto"/>
      </w:tcPr>
    </w:tblStylePr>
    <w:tblStylePr w:type="lastCol">
      <w:rPr>
        <w:rFonts w:ascii="Arial" w:hAnsi="Arial"/>
        <w:i/>
        <w:color w:val="266779" w:themeColor="accent5" w:themeShade="95"/>
        <w:sz w:val="22"/>
      </w:rPr>
      <w:tcPr>
        <w:tcBorders>
          <w:top w:val="nil"/>
          <w:left w:val="single" w:color="99D0DE" w:themeColor="accent5" w:themeTint="90" w:sz="4" w:space="0"/>
          <w:bottom w:val="nil"/>
          <w:right w:val="nil"/>
        </w:tcBorders>
        <w:shd w:val="clear" w:color="FFFFFF" w:fill="auto"/>
      </w:tcPr>
    </w:tblStylePr>
    <w:tblStylePr w:type="band1Vert">
      <w:tcPr>
        <w:shd w:val="clear" w:color="DAEEF3" w:themeColor="accent5" w:themeTint="34" w:fill="DAEEF3" w:themeFill="accent5" w:themeFillTint="34"/>
      </w:tcPr>
    </w:tblStyle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customStyle="1" w:styleId="110">
    <w:name w:val="Grid Table 7 Colorful - Accent 6"/>
    <w:qFormat/>
    <w:uiPriority w:val="99"/>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B15407" w:themeColor="accent6" w:themeShade="95"/>
        <w:sz w:val="22"/>
      </w:rPr>
      <w:tcPr>
        <w:tcBorders>
          <w:top w:val="nil"/>
          <w:left w:val="nil"/>
          <w:bottom w:val="single" w:color="FAC396" w:themeColor="accent6" w:themeTint="90" w:sz="4" w:space="0"/>
          <w:right w:val="nil"/>
        </w:tcBorders>
        <w:shd w:val="clear" w:color="FFFFFF" w:themeColor="light1" w:fill="FFFFFF" w:themeFill="light1"/>
      </w:tcPr>
    </w:tblStylePr>
    <w:tblStylePr w:type="lastRow">
      <w:rPr>
        <w:rFonts w:ascii="Arial" w:hAnsi="Arial"/>
        <w:b/>
        <w:color w:val="B15407" w:themeColor="accent6" w:themeShade="95"/>
        <w:sz w:val="22"/>
      </w:rPr>
      <w:tcPr>
        <w:tcBorders>
          <w:top w:val="single" w:color="FAC396"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B15407" w:themeColor="accent6" w:themeShade="95"/>
        <w:sz w:val="22"/>
      </w:rPr>
      <w:tcPr>
        <w:tcBorders>
          <w:top w:val="nil"/>
          <w:left w:val="nil"/>
          <w:bottom w:val="nil"/>
          <w:right w:val="single" w:color="FAC396" w:themeColor="accent6" w:themeTint="90" w:sz="4" w:space="0"/>
        </w:tcBorders>
        <w:shd w:val="clear" w:color="FFFFFF" w:fill="auto"/>
      </w:tcPr>
    </w:tblStylePr>
    <w:tblStylePr w:type="lastCol">
      <w:rPr>
        <w:rFonts w:ascii="Arial" w:hAnsi="Arial"/>
        <w:i/>
        <w:color w:val="B15407" w:themeColor="accent6" w:themeShade="95"/>
        <w:sz w:val="22"/>
      </w:rPr>
      <w:tcPr>
        <w:tcBorders>
          <w:top w:val="nil"/>
          <w:left w:val="single" w:color="FAC396" w:themeColor="accent6" w:themeTint="90" w:sz="4" w:space="0"/>
          <w:bottom w:val="nil"/>
          <w:right w:val="nil"/>
        </w:tcBorders>
        <w:shd w:val="clear" w:color="FFFFFF" w:fill="auto"/>
      </w:tcPr>
    </w:tblStylePr>
    <w:tblStylePr w:type="band1Vert">
      <w:tcPr>
        <w:shd w:val="clear" w:color="FDE9D9" w:themeColor="accent6" w:themeTint="34" w:fill="FDE9D9" w:themeFill="accent6" w:themeFillTint="34"/>
      </w:tcPr>
    </w:tblStylePr>
    <w:tblStylePr w:type="band1Horz">
      <w:rPr>
        <w:rFonts w:ascii="Arial" w:hAnsi="Arial"/>
        <w:color w:val="B15407" w:themeColor="accent6" w:themeShade="95"/>
        <w:sz w:val="22"/>
      </w:rPr>
      <w:tcPr>
        <w:shd w:val="clear" w:color="FDE9D9" w:themeColor="accent6" w:themeTint="34" w:fill="FDE9D9" w:themeFill="accent6" w:themeFillTint="34"/>
      </w:tcPr>
    </w:tblStylePr>
    <w:tblStylePr w:type="band2Horz">
      <w:rPr>
        <w:rFonts w:ascii="Arial" w:hAnsi="Arial"/>
        <w:color w:val="B15407" w:themeColor="accent6" w:themeShade="95"/>
        <w:sz w:val="22"/>
      </w:rPr>
    </w:tblStylePr>
  </w:style>
  <w:style w:type="table" w:customStyle="1" w:styleId="111">
    <w:name w:val="List Table 1 Light"/>
    <w:qFormat/>
    <w:uiPriority w:val="99"/>
    <w:pPr>
      <w:spacing w:after="0" w:line="240" w:lineRule="auto"/>
    </w:p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12">
    <w:name w:val="List Table 1 Light - Accent 1"/>
    <w:qFormat/>
    <w:uiPriority w:val="99"/>
    <w:pPr>
      <w:spacing w:after="0" w:line="240" w:lineRule="auto"/>
    </w:pPr>
    <w:tblStylePr w:type="firstRow">
      <w:rPr>
        <w:b/>
        <w:color w:val="404040"/>
      </w:rPr>
      <w:tcPr>
        <w:tcBorders>
          <w:top w:val="nil"/>
          <w:left w:val="nil"/>
          <w:bottom w:val="single" w:color="4F81BD" w:themeColor="accent1" w:sz="4" w:space="0"/>
          <w:right w:val="nil"/>
        </w:tcBorders>
      </w:tcPr>
    </w:tblStylePr>
    <w:tblStylePr w:type="lastRow">
      <w:rPr>
        <w:b/>
        <w:color w:val="404040"/>
      </w:rPr>
      <w:tcPr>
        <w:tcBorders>
          <w:top w:val="single" w:color="4F81BD"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2DFEE" w:themeColor="accent1" w:themeTint="40" w:fill="D2DFEE" w:themeFill="accent1" w:themeFillTint="40"/>
      </w:tcPr>
    </w:tblStylePr>
    <w:tblStylePr w:type="band1Horz">
      <w:tcPr>
        <w:shd w:val="clear" w:color="D2DFEE" w:themeColor="accent1" w:themeTint="40" w:fill="D2DFEE" w:themeFill="accent1" w:themeFillTint="40"/>
      </w:tcPr>
    </w:tblStylePr>
  </w:style>
  <w:style w:type="table" w:customStyle="1" w:styleId="113">
    <w:name w:val="List Table 1 Light - Accent 2"/>
    <w:qFormat/>
    <w:uiPriority w:val="99"/>
    <w:pPr>
      <w:spacing w:after="0" w:line="240" w:lineRule="auto"/>
    </w:pPr>
    <w:tblStylePr w:type="firstRow">
      <w:rPr>
        <w:b/>
        <w:color w:val="404040"/>
      </w:rPr>
      <w:tcPr>
        <w:tcBorders>
          <w:top w:val="nil"/>
          <w:left w:val="nil"/>
          <w:bottom w:val="single" w:color="C0504D" w:themeColor="accent2" w:sz="4" w:space="0"/>
          <w:right w:val="nil"/>
        </w:tcBorders>
      </w:tcPr>
    </w:tblStylePr>
    <w:tblStylePr w:type="lastRow">
      <w:rPr>
        <w:b/>
        <w:color w:val="404040"/>
      </w:rPr>
      <w:tcPr>
        <w:tcBorders>
          <w:top w:val="single" w:color="C0504D"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FD3D2" w:themeColor="accent2" w:themeTint="40" w:fill="EFD3D2" w:themeFill="accent2" w:themeFillTint="40"/>
      </w:tcPr>
    </w:tblStylePr>
    <w:tblStylePr w:type="band1Horz">
      <w:tcPr>
        <w:shd w:val="clear" w:color="EFD3D2" w:themeColor="accent2" w:themeTint="40" w:fill="EFD3D2" w:themeFill="accent2" w:themeFillTint="40"/>
      </w:tcPr>
    </w:tblStylePr>
  </w:style>
  <w:style w:type="table" w:customStyle="1" w:styleId="114">
    <w:name w:val="List Table 1 Light - Accent 3"/>
    <w:qFormat/>
    <w:uiPriority w:val="99"/>
    <w:pPr>
      <w:spacing w:after="0" w:line="240" w:lineRule="auto"/>
    </w:pPr>
    <w:tblStylePr w:type="firstRow">
      <w:rPr>
        <w:b/>
        <w:color w:val="404040"/>
      </w:rPr>
      <w:tcPr>
        <w:tcBorders>
          <w:top w:val="nil"/>
          <w:left w:val="nil"/>
          <w:bottom w:val="single" w:color="9BBB59" w:themeColor="accent3" w:sz="4" w:space="0"/>
          <w:right w:val="nil"/>
        </w:tcBorders>
      </w:tcPr>
    </w:tblStylePr>
    <w:tblStylePr w:type="lastRow">
      <w:rPr>
        <w:b/>
        <w:color w:val="404040"/>
      </w:rPr>
      <w:tcPr>
        <w:tcBorders>
          <w:top w:val="single" w:color="9BBB59"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5EDD5" w:themeColor="accent3" w:themeTint="40" w:fill="E5EDD5" w:themeFill="accent3" w:themeFillTint="40"/>
      </w:tcPr>
    </w:tblStylePr>
    <w:tblStylePr w:type="band1Horz">
      <w:tcPr>
        <w:shd w:val="clear" w:color="E5EDD5" w:themeColor="accent3" w:themeTint="40" w:fill="E5EDD5" w:themeFill="accent3" w:themeFillTint="40"/>
      </w:tcPr>
    </w:tblStylePr>
  </w:style>
  <w:style w:type="table" w:customStyle="1" w:styleId="115">
    <w:name w:val="List Table 1 Light - Accent 4"/>
    <w:qFormat/>
    <w:uiPriority w:val="99"/>
    <w:pPr>
      <w:spacing w:after="0" w:line="240" w:lineRule="auto"/>
    </w:pPr>
    <w:tblStylePr w:type="firstRow">
      <w:rPr>
        <w:b/>
        <w:color w:val="404040"/>
      </w:rPr>
      <w:tcPr>
        <w:tcBorders>
          <w:top w:val="nil"/>
          <w:left w:val="nil"/>
          <w:bottom w:val="single" w:color="8064A2" w:themeColor="accent4" w:sz="4" w:space="0"/>
          <w:right w:val="nil"/>
        </w:tcBorders>
      </w:tcPr>
    </w:tblStylePr>
    <w:tblStylePr w:type="lastRow">
      <w:rPr>
        <w:b/>
        <w:color w:val="404040"/>
      </w:rPr>
      <w:tcPr>
        <w:tcBorders>
          <w:top w:val="single" w:color="8064A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FD8E7" w:themeColor="accent4" w:themeTint="40" w:fill="DFD8E7" w:themeFill="accent4" w:themeFillTint="40"/>
      </w:tcPr>
    </w:tblStylePr>
    <w:tblStylePr w:type="band1Horz">
      <w:tcPr>
        <w:shd w:val="clear" w:color="DFD8E7" w:themeColor="accent4" w:themeTint="40" w:fill="DFD8E7" w:themeFill="accent4" w:themeFillTint="40"/>
      </w:tcPr>
    </w:tblStylePr>
  </w:style>
  <w:style w:type="table" w:customStyle="1" w:styleId="116">
    <w:name w:val="List Table 1 Light - Accent 5"/>
    <w:qFormat/>
    <w:uiPriority w:val="99"/>
    <w:pPr>
      <w:spacing w:after="0" w:line="240" w:lineRule="auto"/>
    </w:pPr>
    <w:tblStylePr w:type="firstRow">
      <w:rPr>
        <w:b/>
        <w:color w:val="404040"/>
      </w:rPr>
      <w:tcPr>
        <w:tcBorders>
          <w:top w:val="nil"/>
          <w:left w:val="nil"/>
          <w:bottom w:val="single" w:color="4BACC6" w:themeColor="accent5" w:sz="4" w:space="0"/>
          <w:right w:val="nil"/>
        </w:tcBorders>
      </w:tcPr>
    </w:tblStylePr>
    <w:tblStylePr w:type="lastRow">
      <w:rPr>
        <w:b/>
        <w:color w:val="404040"/>
      </w:rPr>
      <w:tcPr>
        <w:tcBorders>
          <w:top w:val="single" w:color="4BACC6"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EAF0" w:themeColor="accent5" w:themeTint="40" w:fill="D1EAF0" w:themeFill="accent5" w:themeFillTint="40"/>
      </w:tcPr>
    </w:tblStylePr>
    <w:tblStylePr w:type="band1Horz">
      <w:tcPr>
        <w:shd w:val="clear" w:color="D1EAF0" w:themeColor="accent5" w:themeTint="40" w:fill="D1EAF0" w:themeFill="accent5" w:themeFillTint="40"/>
      </w:tcPr>
    </w:tblStylePr>
  </w:style>
  <w:style w:type="table" w:customStyle="1" w:styleId="117">
    <w:name w:val="List Table 1 Light - Accent 6"/>
    <w:qFormat/>
    <w:uiPriority w:val="99"/>
    <w:pPr>
      <w:spacing w:after="0" w:line="240" w:lineRule="auto"/>
    </w:pPr>
    <w:tblStylePr w:type="firstRow">
      <w:rPr>
        <w:b/>
        <w:color w:val="404040"/>
      </w:rPr>
      <w:tcPr>
        <w:tcBorders>
          <w:top w:val="nil"/>
          <w:left w:val="nil"/>
          <w:bottom w:val="single" w:color="F79646" w:themeColor="accent6" w:sz="4" w:space="0"/>
          <w:right w:val="nil"/>
        </w:tcBorders>
      </w:tcPr>
    </w:tblStylePr>
    <w:tblStylePr w:type="lastRow">
      <w:rPr>
        <w:b/>
        <w:color w:val="404040"/>
      </w:rPr>
      <w:tcPr>
        <w:tcBorders>
          <w:top w:val="single" w:color="F79646"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CE4D0" w:themeColor="accent6" w:themeTint="40" w:fill="FCE4D0" w:themeFill="accent6" w:themeFillTint="40"/>
      </w:tcPr>
    </w:tblStylePr>
    <w:tblStylePr w:type="band1Horz">
      <w:tcPr>
        <w:shd w:val="clear" w:color="FCE4D0" w:themeColor="accent6" w:themeTint="40" w:fill="FCE4D0" w:themeFill="accent6" w:themeFillTint="40"/>
      </w:tcPr>
    </w:tblStylePr>
  </w:style>
  <w:style w:type="table" w:customStyle="1" w:styleId="118">
    <w:name w:val="List Table 2"/>
    <w:qFormat/>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19">
    <w:name w:val="List Table 2 - Accent 1"/>
    <w:qFormat/>
    <w:uiPriority w:val="99"/>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fir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la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20">
    <w:name w:val="List Table 2 - Accent 2"/>
    <w:qFormat/>
    <w:uiPriority w:val="99"/>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fir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la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21">
    <w:name w:val="List Table 2 - Accent 3"/>
    <w:qFormat/>
    <w:uiPriority w:val="99"/>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fir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la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22">
    <w:name w:val="List Table 2 - Accent 4"/>
    <w:qFormat/>
    <w:uiPriority w:val="99"/>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fir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la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23">
    <w:name w:val="List Table 2 - Accent 5"/>
    <w:qFormat/>
    <w:uiPriority w:val="99"/>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fir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la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24">
    <w:name w:val="List Table 2 - Accent 6"/>
    <w:qFormat/>
    <w:uiPriority w:val="99"/>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fir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la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25">
    <w:name w:val="List Table 3"/>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26">
    <w:name w:val="List Table 3 - Accent 1"/>
    <w:qFormat/>
    <w:uiPriority w:val="99"/>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band1Horz">
      <w:rPr>
        <w:rFonts w:ascii="Arial" w:hAnsi="Arial"/>
        <w:color w:val="404040"/>
        <w:sz w:val="22"/>
      </w:rPr>
      <w:tcPr>
        <w:tcBorders>
          <w:top w:val="single" w:color="4F81BD" w:themeColor="accent1" w:sz="4" w:space="0"/>
          <w:bottom w:val="single" w:color="4F81BD" w:themeColor="accent1" w:sz="4" w:space="0"/>
        </w:tcBorders>
      </w:tcPr>
    </w:tblStylePr>
  </w:style>
  <w:style w:type="table" w:customStyle="1" w:styleId="127">
    <w:name w:val="List Table 3 - Accent 2"/>
    <w:qFormat/>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firstRow">
      <w:rPr>
        <w:rFonts w:ascii="Arial" w:hAnsi="Arial"/>
        <w:b/>
        <w:color w:val="FFFFFF"/>
        <w:sz w:val="22"/>
      </w:rPr>
      <w:tcPr>
        <w:shd w:val="clear" w:color="D99795" w:themeColor="accent2" w:themeTint="97" w:fill="D997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style>
  <w:style w:type="table" w:customStyle="1" w:styleId="128">
    <w:name w:val="List Table 3 - Accent 3"/>
    <w:qFormat/>
    <w:uiPriority w:val="99"/>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firstRow">
      <w:rPr>
        <w:rFonts w:ascii="Arial" w:hAnsi="Arial"/>
        <w:b/>
        <w:color w:val="FFFFFF"/>
        <w:sz w:val="22"/>
      </w:rPr>
      <w:tcPr>
        <w:shd w:val="clear" w:color="C3D69C" w:themeColor="accent3" w:themeTint="98" w:fill="C3D69C"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style>
  <w:style w:type="table" w:customStyle="1" w:styleId="129">
    <w:name w:val="List Table 3 - Accent 4"/>
    <w:qFormat/>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firstRow">
      <w:rPr>
        <w:rFonts w:ascii="Arial" w:hAnsi="Arial"/>
        <w:b/>
        <w:color w:val="FFFFFF"/>
        <w:sz w:val="22"/>
      </w:r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style>
  <w:style w:type="table" w:customStyle="1" w:styleId="130">
    <w:name w:val="List Table 3 - Accent 5"/>
    <w:qFormat/>
    <w:uiPriority w:val="99"/>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firstRow">
      <w:rPr>
        <w:rFonts w:ascii="Arial" w:hAnsi="Arial"/>
        <w:b/>
        <w:color w:val="FFFFFF"/>
        <w:sz w:val="22"/>
      </w:r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style>
  <w:style w:type="table" w:customStyle="1" w:styleId="131">
    <w:name w:val="List Table 3 - Accent 6"/>
    <w:qFormat/>
    <w:uiPriority w:val="99"/>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firstRow">
      <w:rPr>
        <w:rFonts w:ascii="Arial" w:hAnsi="Arial"/>
        <w:b/>
        <w:color w:val="FFFFFF"/>
        <w:sz w:val="22"/>
      </w:r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style>
  <w:style w:type="table" w:customStyle="1" w:styleId="132">
    <w:name w:val="List Table 4"/>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33">
    <w:name w:val="List Table 4 - Accent 1"/>
    <w:qFormat/>
    <w:uiPriority w:val="9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34">
    <w:name w:val="List Table 4 - Accent 2"/>
    <w:qFormat/>
    <w:uiPriority w:val="9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firstRow">
      <w:rPr>
        <w:rFonts w:ascii="Arial" w:hAnsi="Arial"/>
        <w:b/>
        <w:color w:val="FFFFFF"/>
        <w:sz w:val="22"/>
      </w:r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35">
    <w:name w:val="List Table 4 - Accent 3"/>
    <w:qFormat/>
    <w:uiPriority w:val="9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firstRow">
      <w:rPr>
        <w:rFonts w:ascii="Arial" w:hAnsi="Arial"/>
        <w:b/>
        <w:color w:val="FFFFFF"/>
        <w:sz w:val="22"/>
      </w:r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36">
    <w:name w:val="List Table 4 - Accent 4"/>
    <w:qFormat/>
    <w:uiPriority w:val="9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firstRow">
      <w:rPr>
        <w:rFonts w:ascii="Arial" w:hAnsi="Arial"/>
        <w:b/>
        <w:color w:val="FFFFFF"/>
        <w:sz w:val="22"/>
      </w:r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37">
    <w:name w:val="List Table 4 - Accent 5"/>
    <w:qFormat/>
    <w:uiPriority w:val="9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firstRow">
      <w:rPr>
        <w:rFonts w:ascii="Arial" w:hAnsi="Arial"/>
        <w:b/>
        <w:color w:val="FFFFFF"/>
        <w:sz w:val="22"/>
      </w:r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38">
    <w:name w:val="List Table 4 - Accent 6"/>
    <w:qFormat/>
    <w:uiPriority w:val="9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firstRow">
      <w:rPr>
        <w:rFonts w:ascii="Arial" w:hAnsi="Arial"/>
        <w:b/>
        <w:color w:val="FFFFFF"/>
        <w:sz w:val="22"/>
      </w:r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39">
    <w:name w:val="List Table 5 Dark"/>
    <w:qFormat/>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40">
    <w:name w:val="List Table 5 Dark - Accent 1"/>
    <w:qFormat/>
    <w:uiPriority w:val="99"/>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firstRow">
      <w:rPr>
        <w:rFonts w:ascii="Arial" w:hAnsi="Arial"/>
        <w:b/>
        <w:color w:val="FFFFFF" w:themeColor="light1"/>
        <w:sz w:val="22"/>
      </w:rPr>
      <w:tcPr>
        <w:tcBorders>
          <w:top w:val="single" w:color="4F81BD" w:themeColor="accent1" w:sz="32" w:space="0"/>
          <w:bottom w:val="single" w:color="FFFFFF" w:themeColor="light1" w:sz="12" w:space="0"/>
        </w:tcBorders>
        <w:shd w:val="clear" w:color="4F81BD" w:themeColor="accent1" w:fill="4F81BD"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lastCol">
      <w:tcPr>
        <w:tcBorders>
          <w:left w:val="single" w:color="FFFFFF" w:themeColor="light1" w:sz="4" w:space="0"/>
          <w:right w:val="single" w:color="4F81BD" w:themeColor="accent1" w:sz="32" w:space="0"/>
        </w:tcBorders>
      </w:tcPr>
    </w:tblStylePr>
    <w:tblStylePr w:type="band1Vert">
      <w:tcPr>
        <w:tcBorders>
          <w:left w:val="single" w:color="FFFFFF" w:themeColor="light1" w:sz="4" w:space="0"/>
          <w:right w:val="single" w:color="FFFFFF" w:themeColor="light1" w:sz="4" w:space="0"/>
        </w:tcBorders>
        <w:shd w:val="clear" w:color="4F81BD" w:themeColor="accent1" w:fill="4F81BD"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F81BD" w:themeColor="accent1" w:fill="4F81BD" w:themeFill="accent1"/>
      </w:tcPr>
    </w:tblStylePr>
    <w:tblStylePr w:type="band2Horz">
      <w:tcPr>
        <w:tcBorders>
          <w:top w:val="single" w:color="FFFFFF" w:themeColor="light1" w:sz="4" w:space="0"/>
          <w:bottom w:val="single" w:color="FFFFFF" w:themeColor="light1" w:sz="4" w:space="0"/>
        </w:tcBorders>
        <w:shd w:val="clear" w:color="4F81BD" w:themeColor="accent1" w:fill="4F81BD" w:themeFill="accent1"/>
      </w:tcPr>
    </w:tblStylePr>
  </w:style>
  <w:style w:type="table" w:customStyle="1" w:styleId="141">
    <w:name w:val="List Table 5 Dark - Accent 2"/>
    <w:qFormat/>
    <w:uiPriority w:val="99"/>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firstRow">
      <w:rPr>
        <w:rFonts w:ascii="Arial" w:hAnsi="Arial"/>
        <w:b/>
        <w:color w:val="FFFFFF" w:themeColor="light1"/>
        <w:sz w:val="22"/>
      </w:rPr>
      <w:tcPr>
        <w:tcBorders>
          <w:top w:val="single" w:color="D99795" w:themeColor="accent2" w:themeTint="97" w:sz="32" w:space="0"/>
          <w:bottom w:val="single" w:color="FFFFFF" w:themeColor="light1" w:sz="12" w:space="0"/>
        </w:tcBorders>
        <w:shd w:val="clear" w:color="D99795" w:themeColor="accent2" w:themeTint="97" w:fill="D99795"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D99795" w:themeColor="accent2" w:themeTint="97" w:sz="32" w:space="0"/>
          <w:right w:val="single" w:color="FFFFFF" w:themeColor="light1" w:sz="4" w:space="0"/>
        </w:tcBorders>
      </w:tcPr>
    </w:tblStylePr>
    <w:tblStylePr w:type="lastCol">
      <w:tcPr>
        <w:tcBorders>
          <w:left w:val="single" w:color="FFFFFF" w:themeColor="light1" w:sz="4" w:space="0"/>
          <w:right w:val="single" w:color="D99795" w:themeColor="accent2" w:themeTint="97" w:sz="32" w:space="0"/>
        </w:tcBorders>
      </w:tcPr>
    </w:tblStylePr>
    <w:tblStylePr w:type="band1Vert">
      <w:tcPr>
        <w:tcBorders>
          <w:left w:val="single" w:color="FFFFFF" w:themeColor="light1" w:sz="4" w:space="0"/>
          <w:right w:val="single" w:color="FFFFFF" w:themeColor="light1" w:sz="4" w:space="0"/>
        </w:tcBorders>
        <w:shd w:val="clear" w:color="D99795" w:themeColor="accent2" w:themeTint="97" w:fill="D9979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tblStylePr w:type="band2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style>
  <w:style w:type="table" w:customStyle="1" w:styleId="142">
    <w:name w:val="List Table 5 Dark - Accent 3"/>
    <w:qFormat/>
    <w:uiPriority w:val="99"/>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firstRow">
      <w:rPr>
        <w:rFonts w:ascii="Arial" w:hAnsi="Arial"/>
        <w:b/>
        <w:color w:val="FFFFFF" w:themeColor="light1"/>
        <w:sz w:val="22"/>
      </w:rPr>
      <w:tcPr>
        <w:tcBorders>
          <w:top w:val="single" w:color="C3D69C" w:themeColor="accent3" w:themeTint="98" w:sz="32" w:space="0"/>
          <w:bottom w:val="single" w:color="FFFFFF" w:themeColor="light1" w:sz="12" w:space="0"/>
        </w:tcBorders>
        <w:shd w:val="clear" w:color="C3D69C" w:themeColor="accent3" w:themeTint="98" w:fill="C3D69C"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C3D69C" w:themeColor="accent3" w:themeTint="98" w:sz="32" w:space="0"/>
          <w:right w:val="single" w:color="FFFFFF" w:themeColor="light1" w:sz="4" w:space="0"/>
        </w:tcBorders>
      </w:tcPr>
    </w:tblStylePr>
    <w:tblStylePr w:type="lastCol">
      <w:tcPr>
        <w:tcBorders>
          <w:left w:val="single" w:color="FFFFFF" w:themeColor="light1" w:sz="4" w:space="0"/>
          <w:right w:val="single" w:color="C3D69C" w:themeColor="accent3" w:themeTint="98" w:sz="32" w:space="0"/>
        </w:tcBorders>
      </w:tcPr>
    </w:tblStylePr>
    <w:tblStylePr w:type="band1Vert">
      <w:tcPr>
        <w:tcBorders>
          <w:left w:val="single" w:color="FFFFFF" w:themeColor="light1" w:sz="4" w:space="0"/>
          <w:right w:val="single" w:color="FFFFFF" w:themeColor="light1" w:sz="4" w:space="0"/>
        </w:tcBorders>
        <w:shd w:val="clear" w:color="C3D69C" w:themeColor="accent3" w:themeTint="98" w:fill="C3D69C"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tblStylePr w:type="band2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style>
  <w:style w:type="table" w:customStyle="1" w:styleId="143">
    <w:name w:val="List Table 5 Dark - Accent 4"/>
    <w:qFormat/>
    <w:uiPriority w:val="99"/>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firstRow">
      <w:rPr>
        <w:rFonts w:ascii="Arial" w:hAnsi="Arial"/>
        <w:b/>
        <w:color w:val="FFFFFF" w:themeColor="light1"/>
        <w:sz w:val="22"/>
      </w:rPr>
      <w:tcPr>
        <w:tcBorders>
          <w:top w:val="single" w:color="B2A1C6" w:themeColor="accent4" w:themeTint="9A" w:sz="32" w:space="0"/>
          <w:bottom w:val="single" w:color="FFFFFF" w:themeColor="light1" w:sz="12" w:space="0"/>
        </w:tcBorders>
        <w:shd w:val="clear" w:color="B2A1C6" w:themeColor="accent4" w:themeTint="9A" w:fill="B2A1C6"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lastCol">
      <w:tcPr>
        <w:tcBorders>
          <w:left w:val="single" w:color="FFFFFF" w:themeColor="light1" w:sz="4" w:space="0"/>
          <w:right w:val="single" w:color="B2A1C6" w:themeColor="accent4" w:themeTint="9A" w:sz="32" w:space="0"/>
        </w:tcBorders>
      </w:tcPr>
    </w:tblStylePr>
    <w:tblStylePr w:type="band1Vert">
      <w:tcPr>
        <w:tcBorders>
          <w:left w:val="single" w:color="FFFFFF" w:themeColor="light1" w:sz="4" w:space="0"/>
          <w:right w:val="single" w:color="FFFFFF" w:themeColor="light1" w:sz="4" w:space="0"/>
        </w:tcBorders>
        <w:shd w:val="clear" w:color="B2A1C6" w:themeColor="accent4" w:themeTint="9A" w:fill="B2A1C6"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tblStylePr w:type="band2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style>
  <w:style w:type="table" w:customStyle="1" w:styleId="144">
    <w:name w:val="List Table 5 Dark - Accent 5"/>
    <w:qFormat/>
    <w:uiPriority w:val="99"/>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firstRow">
      <w:rPr>
        <w:rFonts w:ascii="Arial" w:hAnsi="Arial"/>
        <w:b/>
        <w:color w:val="FFFFFF" w:themeColor="light1"/>
        <w:sz w:val="22"/>
      </w:rPr>
      <w:tcPr>
        <w:tcBorders>
          <w:top w:val="single" w:color="92CCDC" w:themeColor="accent5" w:themeTint="9A" w:sz="32" w:space="0"/>
          <w:bottom w:val="single" w:color="FFFFFF" w:themeColor="light1" w:sz="12" w:space="0"/>
        </w:tcBorders>
        <w:shd w:val="clear" w:color="92CCDC" w:themeColor="accent5" w:themeTint="9A" w:fill="92CCDC"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lastCol">
      <w:tcPr>
        <w:tcBorders>
          <w:left w:val="single" w:color="FFFFFF" w:themeColor="light1" w:sz="4" w:space="0"/>
          <w:right w:val="single" w:color="92CCDC" w:themeColor="accent5" w:themeTint="9A" w:sz="32" w:space="0"/>
        </w:tcBorders>
      </w:tcPr>
    </w:tblStylePr>
    <w:tblStylePr w:type="band1Vert">
      <w:tcPr>
        <w:tcBorders>
          <w:left w:val="single" w:color="FFFFFF" w:themeColor="light1" w:sz="4" w:space="0"/>
          <w:right w:val="single" w:color="FFFFFF" w:themeColor="light1" w:sz="4" w:space="0"/>
        </w:tcBorders>
        <w:shd w:val="clear" w:color="92CCDC" w:themeColor="accent5" w:themeTint="9A" w:fill="92CCDC"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tblStylePr w:type="band2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style>
  <w:style w:type="table" w:customStyle="1" w:styleId="145">
    <w:name w:val="List Table 5 Dark - Accent 6"/>
    <w:qFormat/>
    <w:uiPriority w:val="99"/>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firstRow">
      <w:rPr>
        <w:rFonts w:ascii="Arial" w:hAnsi="Arial"/>
        <w:b/>
        <w:color w:val="FFFFFF" w:themeColor="light1"/>
        <w:sz w:val="22"/>
      </w:rPr>
      <w:tcPr>
        <w:tcBorders>
          <w:top w:val="single" w:color="FAC090" w:themeColor="accent6" w:themeTint="98" w:sz="32" w:space="0"/>
          <w:bottom w:val="single" w:color="FFFFFF" w:themeColor="light1" w:sz="12" w:space="0"/>
        </w:tcBorders>
        <w:shd w:val="clear" w:color="FAC090" w:themeColor="accent6" w:themeTint="98" w:fill="FAC090"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lastCol">
      <w:tcPr>
        <w:tcBorders>
          <w:left w:val="single" w:color="FFFFFF" w:themeColor="light1" w:sz="4" w:space="0"/>
          <w:right w:val="single" w:color="FAC090" w:themeColor="accent6" w:themeTint="98" w:sz="32" w:space="0"/>
        </w:tcBorders>
      </w:tcPr>
    </w:tblStylePr>
    <w:tblStylePr w:type="band1Vert">
      <w:tcPr>
        <w:tcBorders>
          <w:left w:val="single" w:color="FFFFFF" w:themeColor="light1" w:sz="4" w:space="0"/>
          <w:right w:val="single" w:color="FFFFFF" w:themeColor="light1" w:sz="4" w:space="0"/>
        </w:tcBorders>
        <w:shd w:val="clear" w:color="FAC090" w:themeColor="accent6" w:themeTint="98" w:fill="FAC090"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tblStylePr w:type="band2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style>
  <w:style w:type="table" w:customStyle="1" w:styleId="146">
    <w:name w:val="List Table 6 Colorful"/>
    <w:qFormat/>
    <w:uiPriority w:val="99"/>
    <w:pPr>
      <w:spacing w:after="0" w:line="240" w:lineRule="auto"/>
    </w:pPr>
    <w:tblPr>
      <w:tblBorders>
        <w:top w:val="single" w:color="7E7E7E" w:themeColor="text1" w:themeTint="80" w:sz="4" w:space="0"/>
        <w:bottom w:val="single" w:color="7E7E7E" w:themeColor="text1" w:themeTint="80" w:sz="4" w:space="0"/>
      </w:tblBorders>
    </w:tblPr>
    <w:tblStylePr w:type="firstRow">
      <w:rPr>
        <w:b/>
        <w:color w:val="000000" w:themeColor="text1"/>
      </w:rPr>
      <w:tcPr>
        <w:tcBorders>
          <w:bottom w:val="single" w:color="7E7E7E" w:themeColor="text1" w:themeTint="80" w:sz="4" w:space="0"/>
        </w:tcBorders>
      </w:tcPr>
    </w:tblStylePr>
    <w:tblStylePr w:type="lastRow">
      <w:rPr>
        <w:b/>
        <w:color w:val="000000" w:themeColor="text1"/>
      </w:rPr>
      <w:tcPr>
        <w:tcBorders>
          <w:top w:val="single" w:color="7E7E7E" w:themeColor="text1" w:themeTint="80" w:sz="4" w:space="0"/>
        </w:tcBorders>
      </w:tcPr>
    </w:tblStylePr>
    <w:tblStylePr w:type="firstCol">
      <w:rPr>
        <w:b/>
        <w:color w:val="000000" w:themeColor="text1"/>
      </w:rPr>
    </w:tblStylePr>
    <w:tblStylePr w:type="lastCol">
      <w:rPr>
        <w:b/>
        <w:color w:val="000000" w:themeColor="text1"/>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rPr>
      <w:tcPr>
        <w:shd w:val="clear" w:color="BEBEBE" w:themeColor="text1" w:themeTint="40" w:fill="BEBEBE" w:themeFill="text1" w:themeFillTint="40"/>
      </w:tcPr>
    </w:tblStylePr>
    <w:tblStylePr w:type="band2Horz">
      <w:rPr>
        <w:rFonts w:ascii="Arial" w:hAnsi="Arial"/>
        <w:color w:val="000000" w:themeColor="text1"/>
        <w:sz w:val="22"/>
      </w:rPr>
    </w:tblStylePr>
  </w:style>
  <w:style w:type="table" w:customStyle="1" w:styleId="147">
    <w:name w:val="List Table 6 Colorful - Accent 1"/>
    <w:qFormat/>
    <w:uiPriority w:val="99"/>
    <w:pPr>
      <w:spacing w:after="0" w:line="240" w:lineRule="auto"/>
    </w:pPr>
    <w:tblPr>
      <w:tblBorders>
        <w:top w:val="single" w:color="4F81BD" w:themeColor="accent1" w:sz="4" w:space="0"/>
        <w:bottom w:val="single" w:color="4F81BD" w:themeColor="accent1" w:sz="4" w:space="0"/>
      </w:tblBorders>
    </w:tblPr>
    <w:tblStylePr w:type="firstRow">
      <w:rPr>
        <w:b/>
        <w:color w:val="2A4B71" w:themeColor="accent1" w:themeShade="95"/>
      </w:rPr>
      <w:tcPr>
        <w:tcBorders>
          <w:bottom w:val="single" w:color="4F81BD" w:themeColor="accent1" w:sz="4" w:space="0"/>
        </w:tcBorders>
      </w:tcPr>
    </w:tblStylePr>
    <w:tblStylePr w:type="lastRow">
      <w:rPr>
        <w:b/>
        <w:color w:val="2A4B71" w:themeColor="accent1" w:themeShade="95"/>
      </w:rPr>
      <w:tcPr>
        <w:tcBorders>
          <w:top w:val="single" w:color="4F81BD" w:themeColor="accent1" w:sz="4" w:space="0"/>
        </w:tcBorders>
      </w:tcPr>
    </w:tblStylePr>
    <w:tblStylePr w:type="firstCol">
      <w:rPr>
        <w:b/>
        <w:color w:val="2A4B71" w:themeColor="accent1" w:themeShade="95"/>
      </w:rPr>
    </w:tblStylePr>
    <w:tblStylePr w:type="lastCol">
      <w:rPr>
        <w:b/>
        <w:color w:val="2A4B71" w:themeColor="accent1" w:themeShade="95"/>
      </w:r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2Horz">
      <w:rPr>
        <w:rFonts w:ascii="Arial" w:hAnsi="Arial"/>
        <w:color w:val="2A4B71" w:themeColor="accent1" w:themeShade="95"/>
        <w:sz w:val="22"/>
      </w:rPr>
    </w:tblStylePr>
  </w:style>
  <w:style w:type="table" w:customStyle="1" w:styleId="148">
    <w:name w:val="List Table 6 Colorful - Accent 2"/>
    <w:qFormat/>
    <w:uiPriority w:val="99"/>
    <w:pPr>
      <w:spacing w:after="0" w:line="240" w:lineRule="auto"/>
    </w:pPr>
    <w:tblPr>
      <w:tblBorders>
        <w:top w:val="single" w:color="D99795" w:themeColor="accent2" w:themeTint="97" w:sz="4" w:space="0"/>
        <w:bottom w:val="single" w:color="D99795" w:themeColor="accent2" w:themeTint="97" w:sz="4" w:space="0"/>
      </w:tblBorders>
    </w:tblPr>
    <w:tblStylePr w:type="firstRow">
      <w:rPr>
        <w:b/>
        <w:color w:val="D99795" w:themeColor="accent2" w:themeShade="95" w:themeTint="97"/>
      </w:rPr>
      <w:tcPr>
        <w:tcBorders>
          <w:bottom w:val="single" w:color="D99795" w:themeColor="accent2" w:themeTint="97" w:sz="4" w:space="0"/>
        </w:tcBorders>
      </w:tcPr>
    </w:tblStylePr>
    <w:tblStylePr w:type="lastRow">
      <w:rPr>
        <w:b/>
        <w:color w:val="D99795" w:themeColor="accent2" w:themeShade="95" w:themeTint="97"/>
      </w:rPr>
      <w:tcPr>
        <w:tcBorders>
          <w:top w:val="single" w:color="D99795" w:themeColor="accent2" w:themeTint="97" w:sz="4" w:space="0"/>
        </w:tcBorders>
      </w:tcPr>
    </w:tblStylePr>
    <w:tblStylePr w:type="firstCol">
      <w:rPr>
        <w:b/>
        <w:color w:val="D99795" w:themeColor="accent2" w:themeShade="95" w:themeTint="97"/>
      </w:rPr>
    </w:tblStylePr>
    <w:tblStylePr w:type="lastCol">
      <w:rPr>
        <w:b/>
        <w:color w:val="D99795" w:themeColor="accent2" w:themeShade="95" w:themeTint="97"/>
      </w:rPr>
    </w:tblStylePr>
    <w:tblStylePr w:type="band1Vert">
      <w:tcPr>
        <w:shd w:val="clear" w:color="EFD3D2" w:themeColor="accent2" w:themeTint="40" w:fill="EFD3D2" w:themeFill="accent2" w:themeFillTint="40"/>
      </w:tcPr>
    </w:tblStylePr>
    <w:tblStylePr w:type="band1Horz">
      <w:rPr>
        <w:rFonts w:ascii="Arial" w:hAnsi="Arial"/>
        <w:color w:val="D99795" w:themeColor="accent2" w:themeShade="95" w:themeTint="97"/>
        <w:sz w:val="22"/>
      </w:rPr>
      <w:tcPr>
        <w:shd w:val="clear" w:color="EFD3D2" w:themeColor="accent2" w:themeTint="40" w:fill="EFD3D2" w:themeFill="accent2" w:themeFillTint="40"/>
      </w:tcPr>
    </w:tblStylePr>
    <w:tblStylePr w:type="band2Horz">
      <w:rPr>
        <w:rFonts w:ascii="Arial" w:hAnsi="Arial"/>
        <w:color w:val="D99795" w:themeColor="accent2" w:themeShade="95" w:themeTint="97"/>
        <w:sz w:val="22"/>
      </w:rPr>
    </w:tblStylePr>
  </w:style>
  <w:style w:type="table" w:customStyle="1" w:styleId="149">
    <w:name w:val="List Table 6 Colorful - Accent 3"/>
    <w:qFormat/>
    <w:uiPriority w:val="99"/>
    <w:pPr>
      <w:spacing w:after="0" w:line="240" w:lineRule="auto"/>
    </w:pPr>
    <w:tblPr>
      <w:tblBorders>
        <w:top w:val="single" w:color="C3D69C" w:themeColor="accent3" w:themeTint="98" w:sz="4" w:space="0"/>
        <w:bottom w:val="single" w:color="C3D69C" w:themeColor="accent3" w:themeTint="98" w:sz="4" w:space="0"/>
      </w:tblBorders>
    </w:tblPr>
    <w:tblStylePr w:type="firstRow">
      <w:rPr>
        <w:b/>
        <w:color w:val="C3D69C" w:themeColor="accent3" w:themeShade="95" w:themeTint="98"/>
      </w:rPr>
      <w:tcPr>
        <w:tcBorders>
          <w:bottom w:val="single" w:color="C3D69C" w:themeColor="accent3" w:themeTint="98" w:sz="4" w:space="0"/>
        </w:tcBorders>
      </w:tcPr>
    </w:tblStylePr>
    <w:tblStylePr w:type="lastRow">
      <w:rPr>
        <w:b/>
        <w:color w:val="C3D69C" w:themeColor="accent3" w:themeShade="95" w:themeTint="98"/>
      </w:rPr>
      <w:tcPr>
        <w:tcBorders>
          <w:top w:val="single" w:color="C3D69C" w:themeColor="accent3" w:themeTint="98" w:sz="4" w:space="0"/>
        </w:tcBorders>
      </w:tcPr>
    </w:tblStylePr>
    <w:tblStylePr w:type="firstCol">
      <w:rPr>
        <w:b/>
        <w:color w:val="C3D69C" w:themeColor="accent3" w:themeShade="95" w:themeTint="98"/>
      </w:rPr>
    </w:tblStylePr>
    <w:tblStylePr w:type="lastCol">
      <w:rPr>
        <w:b/>
        <w:color w:val="C3D69C" w:themeColor="accent3" w:themeShade="95" w:themeTint="98"/>
      </w:rPr>
    </w:tblStylePr>
    <w:tblStylePr w:type="band1Vert">
      <w:tcPr>
        <w:shd w:val="clear" w:color="E5EDD5" w:themeColor="accent3" w:themeTint="40" w:fill="E5EDD5" w:themeFill="accent3" w:themeFillTint="40"/>
      </w:tcPr>
    </w:tblStylePr>
    <w:tblStylePr w:type="band1Horz">
      <w:rPr>
        <w:rFonts w:ascii="Arial" w:hAnsi="Arial"/>
        <w:color w:val="C3D69C" w:themeColor="accent3" w:themeShade="95" w:themeTint="98"/>
        <w:sz w:val="22"/>
      </w:rPr>
      <w:tcPr>
        <w:shd w:val="clear" w:color="E5EDD5" w:themeColor="accent3" w:themeTint="40" w:fill="E5EDD5" w:themeFill="accent3" w:themeFillTint="40"/>
      </w:tcPr>
    </w:tblStylePr>
    <w:tblStylePr w:type="band2Horz">
      <w:rPr>
        <w:rFonts w:ascii="Arial" w:hAnsi="Arial"/>
        <w:color w:val="C3D69C" w:themeColor="accent3" w:themeShade="95" w:themeTint="98"/>
        <w:sz w:val="22"/>
      </w:rPr>
    </w:tblStylePr>
  </w:style>
  <w:style w:type="table" w:customStyle="1" w:styleId="150">
    <w:name w:val="List Table 6 Colorful - Accent 4"/>
    <w:qFormat/>
    <w:uiPriority w:val="99"/>
    <w:pPr>
      <w:spacing w:after="0" w:line="240" w:lineRule="auto"/>
    </w:pPr>
    <w:tblPr>
      <w:tblBorders>
        <w:top w:val="single" w:color="B2A1C6" w:themeColor="accent4" w:themeTint="9A" w:sz="4" w:space="0"/>
        <w:bottom w:val="single" w:color="B2A1C6" w:themeColor="accent4" w:themeTint="9A" w:sz="4" w:space="0"/>
      </w:tblBorders>
    </w:tblPr>
    <w:tblStylePr w:type="firstRow">
      <w:rPr>
        <w:b/>
        <w:color w:val="B2A1C6" w:themeColor="accent4" w:themeShade="95" w:themeTint="9A"/>
      </w:rPr>
      <w:tcPr>
        <w:tcBorders>
          <w:bottom w:val="single" w:color="B2A1C6" w:themeColor="accent4" w:themeTint="9A" w:sz="4" w:space="0"/>
        </w:tcBorders>
      </w:tcPr>
    </w:tblStylePr>
    <w:tblStylePr w:type="lastRow">
      <w:rPr>
        <w:b/>
        <w:color w:val="B2A1C6" w:themeColor="accent4" w:themeShade="95" w:themeTint="9A"/>
      </w:rPr>
      <w:tcPr>
        <w:tcBorders>
          <w:top w:val="single" w:color="B2A1C6" w:themeColor="accent4" w:themeTint="9A" w:sz="4" w:space="0"/>
        </w:tcBorders>
      </w:tcPr>
    </w:tblStylePr>
    <w:tblStylePr w:type="firstCol">
      <w:rPr>
        <w:b/>
        <w:color w:val="B2A1C6" w:themeColor="accent4" w:themeShade="95" w:themeTint="9A"/>
      </w:rPr>
    </w:tblStylePr>
    <w:tblStylePr w:type="lastCol">
      <w:rPr>
        <w:b/>
        <w:color w:val="B2A1C6" w:themeColor="accent4" w:themeShade="95" w:themeTint="9A"/>
      </w:rPr>
    </w:tblStylePr>
    <w:tblStylePr w:type="band1Vert">
      <w:tcPr>
        <w:shd w:val="clear" w:color="DFD8E7" w:themeColor="accent4" w:themeTint="40" w:fill="DFD8E7" w:themeFill="accent4" w:themeFillTint="40"/>
      </w:tcPr>
    </w:tblStylePr>
    <w:tblStylePr w:type="band1Horz">
      <w:rPr>
        <w:rFonts w:ascii="Arial" w:hAnsi="Arial"/>
        <w:color w:val="B2A1C6" w:themeColor="accent4" w:themeShade="95" w:themeTint="9A"/>
        <w:sz w:val="22"/>
      </w:rPr>
      <w:tcPr>
        <w:shd w:val="clear" w:color="DFD8E7" w:themeColor="accent4" w:themeTint="40" w:fill="DFD8E7" w:themeFill="accent4" w:themeFillTint="40"/>
      </w:tcPr>
    </w:tblStylePr>
    <w:tblStylePr w:type="band2Horz">
      <w:rPr>
        <w:rFonts w:ascii="Arial" w:hAnsi="Arial"/>
        <w:color w:val="B2A1C6" w:themeColor="accent4" w:themeShade="95" w:themeTint="9A"/>
        <w:sz w:val="22"/>
      </w:rPr>
    </w:tblStylePr>
  </w:style>
  <w:style w:type="table" w:customStyle="1" w:styleId="151">
    <w:name w:val="List Table 6 Colorful - Accent 5"/>
    <w:qFormat/>
    <w:uiPriority w:val="99"/>
    <w:pPr>
      <w:spacing w:after="0" w:line="240" w:lineRule="auto"/>
    </w:pPr>
    <w:tblPr>
      <w:tblBorders>
        <w:top w:val="single" w:color="92CCDC" w:themeColor="accent5" w:themeTint="9A" w:sz="4" w:space="0"/>
        <w:bottom w:val="single" w:color="92CCDC" w:themeColor="accent5" w:themeTint="9A" w:sz="4" w:space="0"/>
      </w:tblBorders>
    </w:tblPr>
    <w:tblStylePr w:type="firstRow">
      <w:rPr>
        <w:b/>
        <w:color w:val="92CCDC" w:themeColor="accent5" w:themeShade="95" w:themeTint="9A"/>
      </w:rPr>
      <w:tcPr>
        <w:tcBorders>
          <w:bottom w:val="single" w:color="92CCDC" w:themeColor="accent5" w:themeTint="9A" w:sz="4" w:space="0"/>
        </w:tcBorders>
      </w:tcPr>
    </w:tblStylePr>
    <w:tblStylePr w:type="lastRow">
      <w:rPr>
        <w:b/>
        <w:color w:val="92CCDC" w:themeColor="accent5" w:themeShade="95" w:themeTint="9A"/>
      </w:rPr>
      <w:tcPr>
        <w:tcBorders>
          <w:top w:val="single" w:color="92CCDC" w:themeColor="accent5" w:themeTint="9A" w:sz="4" w:space="0"/>
        </w:tcBorders>
      </w:tcPr>
    </w:tblStylePr>
    <w:tblStylePr w:type="firstCol">
      <w:rPr>
        <w:b/>
        <w:color w:val="92CCDC" w:themeColor="accent5" w:themeShade="95" w:themeTint="9A"/>
      </w:rPr>
    </w:tblStylePr>
    <w:tblStylePr w:type="lastCol">
      <w:rPr>
        <w:b/>
        <w:color w:val="92CCDC" w:themeColor="accent5" w:themeShade="95" w:themeTint="9A"/>
      </w:rPr>
    </w:tblStylePr>
    <w:tblStylePr w:type="band1Vert">
      <w:tcPr>
        <w:shd w:val="clear" w:color="D1EAF0" w:themeColor="accent5" w:themeTint="40" w:fill="D1EAF0" w:themeFill="accent5" w:themeFillTint="40"/>
      </w:tcPr>
    </w:tblStylePr>
    <w:tblStylePr w:type="band1Horz">
      <w:rPr>
        <w:rFonts w:ascii="Arial" w:hAnsi="Arial"/>
        <w:color w:val="92CCDC" w:themeColor="accent5" w:themeShade="95" w:themeTint="9A"/>
        <w:sz w:val="22"/>
      </w:rPr>
      <w:tcPr>
        <w:shd w:val="clear" w:color="D1EAF0" w:themeColor="accent5" w:themeTint="40" w:fill="D1EAF0" w:themeFill="accent5" w:themeFillTint="40"/>
      </w:tcPr>
    </w:tblStylePr>
    <w:tblStylePr w:type="band2Horz">
      <w:rPr>
        <w:rFonts w:ascii="Arial" w:hAnsi="Arial"/>
        <w:color w:val="92CCDC" w:themeColor="accent5" w:themeShade="95" w:themeTint="9A"/>
        <w:sz w:val="22"/>
      </w:rPr>
    </w:tblStylePr>
  </w:style>
  <w:style w:type="table" w:customStyle="1" w:styleId="152">
    <w:name w:val="List Table 6 Colorful - Accent 6"/>
    <w:qFormat/>
    <w:uiPriority w:val="99"/>
    <w:pPr>
      <w:spacing w:after="0" w:line="240" w:lineRule="auto"/>
    </w:pPr>
    <w:tblPr>
      <w:tblBorders>
        <w:top w:val="single" w:color="FAC090" w:themeColor="accent6" w:themeTint="98" w:sz="4" w:space="0"/>
        <w:bottom w:val="single" w:color="FAC090" w:themeColor="accent6" w:themeTint="98" w:sz="4" w:space="0"/>
      </w:tblBorders>
    </w:tblPr>
    <w:tblStylePr w:type="firstRow">
      <w:rPr>
        <w:b/>
        <w:color w:val="FAC090" w:themeColor="accent6" w:themeShade="95" w:themeTint="98"/>
      </w:rPr>
      <w:tcPr>
        <w:tcBorders>
          <w:bottom w:val="single" w:color="FAC090" w:themeColor="accent6" w:themeTint="98" w:sz="4" w:space="0"/>
        </w:tcBorders>
      </w:tcPr>
    </w:tblStylePr>
    <w:tblStylePr w:type="lastRow">
      <w:rPr>
        <w:b/>
        <w:color w:val="FAC090" w:themeColor="accent6" w:themeShade="95" w:themeTint="98"/>
      </w:rPr>
      <w:tcPr>
        <w:tcBorders>
          <w:top w:val="single" w:color="FAC090" w:themeColor="accent6" w:themeTint="98" w:sz="4" w:space="0"/>
        </w:tcBorders>
      </w:tcPr>
    </w:tblStylePr>
    <w:tblStylePr w:type="firstCol">
      <w:rPr>
        <w:b/>
        <w:color w:val="FAC090" w:themeColor="accent6" w:themeShade="95" w:themeTint="98"/>
      </w:rPr>
    </w:tblStylePr>
    <w:tblStylePr w:type="lastCol">
      <w:rPr>
        <w:b/>
        <w:color w:val="FAC090" w:themeColor="accent6" w:themeShade="95" w:themeTint="98"/>
      </w:r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Shade="95" w:themeTint="98"/>
        <w:sz w:val="22"/>
      </w:rPr>
      <w:tcPr>
        <w:shd w:val="clear" w:color="FCE4D0" w:themeColor="accent6" w:themeTint="40" w:fill="FCE4D0" w:themeFill="accent6" w:themeFillTint="40"/>
      </w:tcPr>
    </w:tblStylePr>
    <w:tblStylePr w:type="band2Horz">
      <w:rPr>
        <w:rFonts w:ascii="Arial" w:hAnsi="Arial"/>
        <w:color w:val="FAC090" w:themeColor="accent6" w:themeShade="95" w:themeTint="98"/>
        <w:sz w:val="22"/>
      </w:rPr>
    </w:tblStylePr>
  </w:style>
  <w:style w:type="table" w:customStyle="1" w:styleId="153">
    <w:name w:val="List Table 7 Colorful"/>
    <w:qFormat/>
    <w:uiPriority w:val="99"/>
    <w:pPr>
      <w:spacing w:after="0" w:line="240" w:lineRule="auto"/>
    </w:pPr>
    <w:tblPr>
      <w:tblBorders>
        <w:right w:val="single" w:color="7E7E7E" w:themeColor="text1" w:themeTint="80" w:sz="4" w:space="0"/>
      </w:tblBorders>
    </w:tblPr>
    <w:tblStylePr w:type="firstRow">
      <w:rPr>
        <w:rFonts w:ascii="Arial" w:hAnsi="Arial"/>
        <w:i/>
        <w:color w:val="7E7E7E" w:themeColor="text1" w:themeShade="95" w:themeTint="80"/>
        <w:sz w:val="22"/>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7E7E7E" w:themeColor="text1" w:themeShade="95" w:themeTint="80"/>
        <w:sz w:val="22"/>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7E7E7E" w:themeColor="text1" w:themeShade="95" w:themeTint="80"/>
        <w:sz w:val="22"/>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7E7E7E" w:themeColor="text1" w:themeShade="95" w:themeTint="80"/>
        <w:sz w:val="22"/>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7E7E7E" w:themeColor="text1" w:themeShade="95" w:themeTint="80"/>
        <w:sz w:val="22"/>
      </w:rPr>
      <w:tcPr>
        <w:shd w:val="clear" w:color="BEBEBE" w:themeColor="text1" w:themeTint="40" w:fill="BEBEBE" w:themeFill="text1" w:themeFillTint="40"/>
      </w:tcPr>
    </w:tblStylePr>
    <w:tblStylePr w:type="band2Horz">
      <w:rPr>
        <w:rFonts w:ascii="Arial" w:hAnsi="Arial"/>
        <w:color w:val="7E7E7E" w:themeColor="text1" w:themeShade="95" w:themeTint="80"/>
        <w:sz w:val="22"/>
      </w:rPr>
    </w:tblStylePr>
  </w:style>
  <w:style w:type="table" w:customStyle="1" w:styleId="154">
    <w:name w:val="List Table 7 Colorful - Accent 1"/>
    <w:qFormat/>
    <w:uiPriority w:val="99"/>
    <w:pPr>
      <w:spacing w:after="0" w:line="240" w:lineRule="auto"/>
    </w:pPr>
    <w:tblPr>
      <w:tblBorders>
        <w:right w:val="single" w:color="4F81BD" w:themeColor="accent1" w:sz="4" w:space="0"/>
      </w:tblBorders>
    </w:tblPr>
    <w:tblStylePr w:type="firstRow">
      <w:rPr>
        <w:rFonts w:ascii="Arial" w:hAnsi="Arial"/>
        <w:i/>
        <w:color w:val="2A4B71" w:themeColor="accent1" w:themeShade="95"/>
        <w:sz w:val="22"/>
      </w:rPr>
      <w:tcPr>
        <w:tcBorders>
          <w:top w:val="nil"/>
          <w:left w:val="nil"/>
          <w:bottom w:val="single" w:color="4F81BD" w:themeColor="accent1" w:sz="4" w:space="0"/>
          <w:right w:val="nil"/>
        </w:tcBorders>
        <w:shd w:val="clear" w:color="FFFFFF" w:themeColor="light1" w:fill="FFFFFF" w:themeFill="light1"/>
      </w:tcPr>
    </w:tblStylePr>
    <w:tblStylePr w:type="lastRow">
      <w:rPr>
        <w:rFonts w:ascii="Arial" w:hAnsi="Arial"/>
        <w:i/>
        <w:color w:val="2A4B71" w:themeColor="accent1" w:themeShade="95"/>
        <w:sz w:val="22"/>
      </w:rPr>
      <w:tcPr>
        <w:tcBorders>
          <w:top w:val="single" w:color="4F81BD"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A4B71" w:themeColor="accent1" w:themeShade="95"/>
        <w:sz w:val="22"/>
      </w:rPr>
      <w:tcPr>
        <w:tcBorders>
          <w:top w:val="nil"/>
          <w:left w:val="nil"/>
          <w:bottom w:val="nil"/>
          <w:right w:val="single" w:color="4F81BD" w:themeColor="accent1" w:sz="4" w:space="0"/>
        </w:tcBorders>
        <w:shd w:val="clear" w:color="FFFFFF" w:fill="auto"/>
      </w:tcPr>
    </w:tblStylePr>
    <w:tblStylePr w:type="lastCol">
      <w:rPr>
        <w:rFonts w:ascii="Arial" w:hAnsi="Arial"/>
        <w:i/>
        <w:color w:val="2A4B71" w:themeColor="accent1" w:themeShade="95"/>
        <w:sz w:val="22"/>
      </w:rPr>
      <w:tcPr>
        <w:tcBorders>
          <w:top w:val="nil"/>
          <w:left w:val="single" w:color="4F81BD" w:themeColor="accent1" w:sz="4" w:space="0"/>
          <w:bottom w:val="nil"/>
          <w:right w:val="nil"/>
        </w:tcBorders>
        <w:shd w:val="clear" w:color="FFFFFF" w:fill="auto"/>
      </w:tc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2Horz">
      <w:rPr>
        <w:rFonts w:ascii="Arial" w:hAnsi="Arial"/>
        <w:color w:val="2A4B71" w:themeColor="accent1" w:themeShade="95"/>
        <w:sz w:val="22"/>
      </w:rPr>
    </w:tblStylePr>
  </w:style>
  <w:style w:type="table" w:customStyle="1" w:styleId="155">
    <w:name w:val="List Table 7 Colorful - Accent 2"/>
    <w:qFormat/>
    <w:uiPriority w:val="99"/>
    <w:pPr>
      <w:spacing w:after="0" w:line="240" w:lineRule="auto"/>
    </w:pPr>
    <w:tblPr>
      <w:tblBorders>
        <w:right w:val="single" w:color="D99795" w:themeColor="accent2" w:themeTint="97" w:sz="4" w:space="0"/>
      </w:tblBorders>
    </w:tblPr>
    <w:tblStylePr w:type="firstRow">
      <w:rPr>
        <w:rFonts w:ascii="Arial" w:hAnsi="Arial"/>
        <w:i/>
        <w:color w:val="D99795" w:themeColor="accent2" w:themeShade="95" w:themeTint="97"/>
        <w:sz w:val="22"/>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i/>
        <w:color w:val="D99795" w:themeColor="accent2" w:themeShade="95" w:themeTint="97"/>
        <w:sz w:val="22"/>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99795" w:themeColor="accent2" w:themeShade="95" w:themeTint="97"/>
        <w:sz w:val="22"/>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99795" w:themeColor="accent2" w:themeShade="95" w:themeTint="97"/>
        <w:sz w:val="22"/>
      </w:rPr>
      <w:tcPr>
        <w:tcBorders>
          <w:top w:val="nil"/>
          <w:left w:val="single" w:color="D99795" w:themeColor="accent2" w:themeTint="97" w:sz="4" w:space="0"/>
          <w:bottom w:val="nil"/>
          <w:right w:val="nil"/>
        </w:tcBorders>
        <w:shd w:val="clear" w:color="FFFFFF" w:fill="auto"/>
      </w:tcPr>
    </w:tblStylePr>
    <w:tblStylePr w:type="band1Vert">
      <w:tcPr>
        <w:shd w:val="clear" w:color="EFD3D2" w:themeColor="accent2" w:themeTint="40" w:fill="EFD3D2" w:themeFill="accent2" w:themeFillTint="40"/>
      </w:tcPr>
    </w:tblStylePr>
    <w:tblStylePr w:type="band1Horz">
      <w:rPr>
        <w:rFonts w:ascii="Arial" w:hAnsi="Arial"/>
        <w:color w:val="D99795" w:themeColor="accent2" w:themeShade="95" w:themeTint="97"/>
        <w:sz w:val="22"/>
      </w:rPr>
      <w:tcPr>
        <w:shd w:val="clear" w:color="EFD3D2" w:themeColor="accent2" w:themeTint="40" w:fill="EFD3D2" w:themeFill="accent2" w:themeFillTint="40"/>
      </w:tcPr>
    </w:tblStylePr>
    <w:tblStylePr w:type="band2Horz">
      <w:rPr>
        <w:rFonts w:ascii="Arial" w:hAnsi="Arial"/>
        <w:color w:val="D99795" w:themeColor="accent2" w:themeShade="95" w:themeTint="97"/>
        <w:sz w:val="22"/>
      </w:rPr>
    </w:tblStylePr>
  </w:style>
  <w:style w:type="table" w:customStyle="1" w:styleId="156">
    <w:name w:val="List Table 7 Colorful - Accent 3"/>
    <w:qFormat/>
    <w:uiPriority w:val="99"/>
    <w:pPr>
      <w:spacing w:after="0" w:line="240" w:lineRule="auto"/>
    </w:pPr>
    <w:tblPr>
      <w:tblBorders>
        <w:right w:val="single" w:color="C3D69C" w:themeColor="accent3" w:themeTint="98" w:sz="4" w:space="0"/>
      </w:tblBorders>
    </w:tblPr>
    <w:tblStylePr w:type="firstRow">
      <w:rPr>
        <w:rFonts w:ascii="Arial" w:hAnsi="Arial"/>
        <w:i/>
        <w:color w:val="C3D69C" w:themeColor="accent3" w:themeShade="95" w:themeTint="98"/>
        <w:sz w:val="22"/>
      </w:rPr>
      <w:tcPr>
        <w:tcBorders>
          <w:top w:val="nil"/>
          <w:left w:val="nil"/>
          <w:bottom w:val="single" w:color="C3D69C" w:themeColor="accent3" w:themeTint="98" w:sz="4" w:space="0"/>
          <w:right w:val="nil"/>
        </w:tcBorders>
        <w:shd w:val="clear" w:color="FFFFFF" w:themeColor="light1" w:fill="FFFFFF" w:themeFill="light1"/>
      </w:tcPr>
    </w:tblStylePr>
    <w:tblStylePr w:type="lastRow">
      <w:rPr>
        <w:rFonts w:ascii="Arial" w:hAnsi="Arial"/>
        <w:i/>
        <w:color w:val="C3D69C" w:themeColor="accent3" w:themeShade="95" w:themeTint="98"/>
        <w:sz w:val="22"/>
      </w:rPr>
      <w:tcPr>
        <w:tcBorders>
          <w:top w:val="single" w:color="C3D69C"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3D69C" w:themeColor="accent3" w:themeShade="95" w:themeTint="98"/>
        <w:sz w:val="22"/>
      </w:rPr>
      <w:tcPr>
        <w:tcBorders>
          <w:top w:val="nil"/>
          <w:left w:val="nil"/>
          <w:bottom w:val="nil"/>
          <w:right w:val="single" w:color="C3D69C" w:themeColor="accent3" w:themeTint="98" w:sz="4" w:space="0"/>
        </w:tcBorders>
        <w:shd w:val="clear" w:color="FFFFFF" w:fill="auto"/>
      </w:tcPr>
    </w:tblStylePr>
    <w:tblStylePr w:type="lastCol">
      <w:rPr>
        <w:rFonts w:ascii="Arial" w:hAnsi="Arial"/>
        <w:i/>
        <w:color w:val="C3D69C" w:themeColor="accent3" w:themeShade="95" w:themeTint="98"/>
        <w:sz w:val="22"/>
      </w:rPr>
      <w:tcPr>
        <w:tcBorders>
          <w:top w:val="nil"/>
          <w:left w:val="single" w:color="C3D69C" w:themeColor="accent3" w:themeTint="98" w:sz="4" w:space="0"/>
          <w:bottom w:val="nil"/>
          <w:right w:val="nil"/>
        </w:tcBorders>
        <w:shd w:val="clear" w:color="FFFFFF" w:fill="auto"/>
      </w:tcPr>
    </w:tblStylePr>
    <w:tblStylePr w:type="band1Vert">
      <w:tcPr>
        <w:shd w:val="clear" w:color="E5EDD5" w:themeColor="accent3" w:themeTint="40" w:fill="E5EDD5" w:themeFill="accent3" w:themeFillTint="40"/>
      </w:tcPr>
    </w:tblStylePr>
    <w:tblStylePr w:type="band1Horz">
      <w:rPr>
        <w:rFonts w:ascii="Arial" w:hAnsi="Arial"/>
        <w:color w:val="C3D69C" w:themeColor="accent3" w:themeShade="95" w:themeTint="98"/>
        <w:sz w:val="22"/>
      </w:rPr>
      <w:tcPr>
        <w:shd w:val="clear" w:color="E5EDD5" w:themeColor="accent3" w:themeTint="40" w:fill="E5EDD5" w:themeFill="accent3" w:themeFillTint="40"/>
      </w:tcPr>
    </w:tblStylePr>
    <w:tblStylePr w:type="band2Horz">
      <w:rPr>
        <w:rFonts w:ascii="Arial" w:hAnsi="Arial"/>
        <w:color w:val="C3D69C" w:themeColor="accent3" w:themeShade="95" w:themeTint="98"/>
        <w:sz w:val="22"/>
      </w:rPr>
    </w:tblStylePr>
  </w:style>
  <w:style w:type="table" w:customStyle="1" w:styleId="157">
    <w:name w:val="List Table 7 Colorful - Accent 4"/>
    <w:qFormat/>
    <w:uiPriority w:val="99"/>
    <w:pPr>
      <w:spacing w:after="0" w:line="240" w:lineRule="auto"/>
    </w:pPr>
    <w:tblPr>
      <w:tblBorders>
        <w:right w:val="single" w:color="B2A1C6" w:themeColor="accent4" w:themeTint="9A" w:sz="4" w:space="0"/>
      </w:tblBorders>
    </w:tblPr>
    <w:tblStylePr w:type="firstRow">
      <w:rPr>
        <w:rFonts w:ascii="Arial" w:hAnsi="Arial"/>
        <w:i/>
        <w:color w:val="B2A1C6" w:themeColor="accent4" w:themeShade="95" w:themeTint="9A"/>
        <w:sz w:val="22"/>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i/>
        <w:color w:val="B2A1C6" w:themeColor="accent4" w:themeShade="95" w:themeTint="9A"/>
        <w:sz w:val="22"/>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2A1C6" w:themeColor="accent4" w:themeShade="95" w:themeTint="9A"/>
        <w:sz w:val="22"/>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2A1C6" w:themeColor="accent4" w:themeShade="95" w:themeTint="9A"/>
        <w:sz w:val="22"/>
      </w:rPr>
      <w:tcPr>
        <w:tcBorders>
          <w:top w:val="nil"/>
          <w:left w:val="single" w:color="B2A1C6" w:themeColor="accent4" w:themeTint="9A" w:sz="4" w:space="0"/>
          <w:bottom w:val="nil"/>
          <w:right w:val="nil"/>
        </w:tcBorders>
        <w:shd w:val="clear" w:color="FFFFFF" w:fill="auto"/>
      </w:tcPr>
    </w:tblStylePr>
    <w:tblStylePr w:type="band1Vert">
      <w:tcPr>
        <w:shd w:val="clear" w:color="DFD8E7" w:themeColor="accent4" w:themeTint="40" w:fill="DFD8E7" w:themeFill="accent4" w:themeFillTint="40"/>
      </w:tcPr>
    </w:tblStylePr>
    <w:tblStylePr w:type="band1Horz">
      <w:rPr>
        <w:rFonts w:ascii="Arial" w:hAnsi="Arial"/>
        <w:color w:val="B2A1C6" w:themeColor="accent4" w:themeShade="95" w:themeTint="9A"/>
        <w:sz w:val="22"/>
      </w:rPr>
      <w:tcPr>
        <w:shd w:val="clear" w:color="DFD8E7" w:themeColor="accent4" w:themeTint="40" w:fill="DFD8E7" w:themeFill="accent4" w:themeFillTint="40"/>
      </w:tcPr>
    </w:tblStylePr>
    <w:tblStylePr w:type="band2Horz">
      <w:rPr>
        <w:rFonts w:ascii="Arial" w:hAnsi="Arial"/>
        <w:color w:val="B2A1C6" w:themeColor="accent4" w:themeShade="95" w:themeTint="9A"/>
        <w:sz w:val="22"/>
      </w:rPr>
    </w:tblStylePr>
  </w:style>
  <w:style w:type="table" w:customStyle="1" w:styleId="158">
    <w:name w:val="List Table 7 Colorful - Accent 5"/>
    <w:qFormat/>
    <w:uiPriority w:val="99"/>
    <w:pPr>
      <w:spacing w:after="0" w:line="240" w:lineRule="auto"/>
    </w:pPr>
    <w:tblPr>
      <w:tblBorders>
        <w:right w:val="single" w:color="92CCDC" w:themeColor="accent5" w:themeTint="9A" w:sz="4" w:space="0"/>
      </w:tblBorders>
    </w:tblPr>
    <w:tblStylePr w:type="firstRow">
      <w:rPr>
        <w:rFonts w:ascii="Arial" w:hAnsi="Arial"/>
        <w:i/>
        <w:color w:val="92CCDC" w:themeColor="accent5" w:themeShade="95" w:themeTint="9A"/>
        <w:sz w:val="22"/>
      </w:rPr>
      <w:tcPr>
        <w:tcBorders>
          <w:top w:val="nil"/>
          <w:left w:val="nil"/>
          <w:bottom w:val="single" w:color="92CCDC" w:themeColor="accent5" w:themeTint="9A" w:sz="4" w:space="0"/>
          <w:right w:val="nil"/>
        </w:tcBorders>
        <w:shd w:val="clear" w:color="FFFFFF" w:themeColor="light1" w:fill="FFFFFF" w:themeFill="light1"/>
      </w:tcPr>
    </w:tblStylePr>
    <w:tblStylePr w:type="lastRow">
      <w:rPr>
        <w:rFonts w:ascii="Arial" w:hAnsi="Arial"/>
        <w:i/>
        <w:color w:val="92CCDC" w:themeColor="accent5" w:themeShade="95" w:themeTint="9A"/>
        <w:sz w:val="22"/>
      </w:rPr>
      <w:tcPr>
        <w:tcBorders>
          <w:top w:val="single" w:color="92CCDC"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2CCDC" w:themeColor="accent5" w:themeShade="95" w:themeTint="9A"/>
        <w:sz w:val="22"/>
      </w:rPr>
      <w:tcPr>
        <w:tcBorders>
          <w:top w:val="nil"/>
          <w:left w:val="nil"/>
          <w:bottom w:val="nil"/>
          <w:right w:val="single" w:color="92CCDC" w:themeColor="accent5" w:themeTint="9A" w:sz="4" w:space="0"/>
        </w:tcBorders>
        <w:shd w:val="clear" w:color="FFFFFF" w:fill="auto"/>
      </w:tcPr>
    </w:tblStylePr>
    <w:tblStylePr w:type="lastCol">
      <w:rPr>
        <w:rFonts w:ascii="Arial" w:hAnsi="Arial"/>
        <w:i/>
        <w:color w:val="92CCDC" w:themeColor="accent5" w:themeShade="95" w:themeTint="9A"/>
        <w:sz w:val="22"/>
      </w:rPr>
      <w:tcPr>
        <w:tcBorders>
          <w:top w:val="nil"/>
          <w:left w:val="single" w:color="92CCDC" w:themeColor="accent5" w:themeTint="9A" w:sz="4" w:space="0"/>
          <w:bottom w:val="nil"/>
          <w:right w:val="nil"/>
        </w:tcBorders>
        <w:shd w:val="clear" w:color="FFFFFF" w:fill="auto"/>
      </w:tcPr>
    </w:tblStylePr>
    <w:tblStylePr w:type="band1Vert">
      <w:tcPr>
        <w:shd w:val="clear" w:color="D1EAF0" w:themeColor="accent5" w:themeTint="40" w:fill="D1EAF0" w:themeFill="accent5" w:themeFillTint="40"/>
      </w:tcPr>
    </w:tblStylePr>
    <w:tblStylePr w:type="band1Horz">
      <w:rPr>
        <w:rFonts w:ascii="Arial" w:hAnsi="Arial"/>
        <w:color w:val="92CCDC" w:themeColor="accent5" w:themeShade="95" w:themeTint="9A"/>
        <w:sz w:val="22"/>
      </w:rPr>
      <w:tcPr>
        <w:shd w:val="clear" w:color="D1EAF0" w:themeColor="accent5" w:themeTint="40" w:fill="D1EAF0" w:themeFill="accent5" w:themeFillTint="40"/>
      </w:tcPr>
    </w:tblStylePr>
    <w:tblStylePr w:type="band2Horz">
      <w:rPr>
        <w:rFonts w:ascii="Arial" w:hAnsi="Arial"/>
        <w:color w:val="92CCDC" w:themeColor="accent5" w:themeShade="95" w:themeTint="9A"/>
        <w:sz w:val="22"/>
      </w:rPr>
    </w:tblStylePr>
  </w:style>
  <w:style w:type="table" w:customStyle="1" w:styleId="159">
    <w:name w:val="List Table 7 Colorful - Accent 6"/>
    <w:qFormat/>
    <w:uiPriority w:val="99"/>
    <w:pPr>
      <w:spacing w:after="0" w:line="240" w:lineRule="auto"/>
    </w:pPr>
    <w:tblPr>
      <w:tblBorders>
        <w:right w:val="single" w:color="FAC090" w:themeColor="accent6" w:themeTint="98" w:sz="4" w:space="0"/>
      </w:tblBorders>
    </w:tblPr>
    <w:tblStylePr w:type="firstRow">
      <w:rPr>
        <w:rFonts w:ascii="Arial" w:hAnsi="Arial"/>
        <w:i/>
        <w:color w:val="FAC090" w:themeColor="accent6" w:themeShade="95" w:themeTint="98"/>
        <w:sz w:val="22"/>
      </w:rPr>
      <w:tcPr>
        <w:tcBorders>
          <w:top w:val="nil"/>
          <w:left w:val="nil"/>
          <w:bottom w:val="single" w:color="FAC090" w:themeColor="accent6" w:themeTint="98" w:sz="4" w:space="0"/>
          <w:right w:val="nil"/>
        </w:tcBorders>
        <w:shd w:val="clear" w:color="FFFFFF" w:themeColor="light1" w:fill="FFFFFF" w:themeFill="light1"/>
      </w:tcPr>
    </w:tblStylePr>
    <w:tblStylePr w:type="lastRow">
      <w:rPr>
        <w:rFonts w:ascii="Arial" w:hAnsi="Arial"/>
        <w:i/>
        <w:color w:val="FAC090" w:themeColor="accent6" w:themeShade="95" w:themeTint="98"/>
        <w:sz w:val="22"/>
      </w:rPr>
      <w:tcPr>
        <w:tcBorders>
          <w:top w:val="single" w:color="FAC090"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FAC090" w:themeColor="accent6" w:themeShade="95" w:themeTint="98"/>
        <w:sz w:val="22"/>
      </w:rPr>
      <w:tcPr>
        <w:tcBorders>
          <w:top w:val="nil"/>
          <w:left w:val="nil"/>
          <w:bottom w:val="nil"/>
          <w:right w:val="single" w:color="FAC090" w:themeColor="accent6" w:themeTint="98" w:sz="4" w:space="0"/>
        </w:tcBorders>
        <w:shd w:val="clear" w:color="FFFFFF" w:fill="auto"/>
      </w:tcPr>
    </w:tblStylePr>
    <w:tblStylePr w:type="lastCol">
      <w:rPr>
        <w:rFonts w:ascii="Arial" w:hAnsi="Arial"/>
        <w:i/>
        <w:color w:val="FAC090" w:themeColor="accent6" w:themeShade="95" w:themeTint="98"/>
        <w:sz w:val="22"/>
      </w:rPr>
      <w:tcPr>
        <w:tcBorders>
          <w:top w:val="nil"/>
          <w:left w:val="single" w:color="FAC090" w:themeColor="accent6" w:themeTint="98" w:sz="4" w:space="0"/>
          <w:bottom w:val="nil"/>
          <w:right w:val="nil"/>
        </w:tcBorders>
        <w:shd w:val="clear" w:color="FFFFFF" w:fill="auto"/>
      </w:tc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Shade="95" w:themeTint="98"/>
        <w:sz w:val="22"/>
      </w:rPr>
      <w:tcPr>
        <w:shd w:val="clear" w:color="FCE4D0" w:themeColor="accent6" w:themeTint="40" w:fill="FCE4D0" w:themeFill="accent6" w:themeFillTint="40"/>
      </w:tcPr>
    </w:tblStylePr>
    <w:tblStylePr w:type="band2Horz">
      <w:rPr>
        <w:rFonts w:ascii="Arial" w:hAnsi="Arial"/>
        <w:color w:val="FAC090" w:themeColor="accent6" w:themeShade="95" w:themeTint="98"/>
        <w:sz w:val="22"/>
      </w:rPr>
    </w:tblStylePr>
  </w:style>
  <w:style w:type="table" w:customStyle="1" w:styleId="160">
    <w:name w:val="Lined - Accent"/>
    <w:qFormat/>
    <w:uiPriority w:val="99"/>
    <w:pPr>
      <w:spacing w:after="0" w:line="240" w:lineRule="auto"/>
    </w:pPr>
    <w:rPr>
      <w:color w:val="404040"/>
    </w:r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61">
    <w:name w:val="Lined - Accent 1"/>
    <w:qFormat/>
    <w:uiPriority w:val="99"/>
    <w:pPr>
      <w:spacing w:after="0" w:line="240" w:lineRule="auto"/>
    </w:pPr>
    <w:rPr>
      <w:color w:val="404040"/>
    </w:r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62">
    <w:name w:val="Lined - Accent 2"/>
    <w:qFormat/>
    <w:uiPriority w:val="99"/>
    <w:pPr>
      <w:spacing w:after="0" w:line="240" w:lineRule="auto"/>
    </w:pPr>
    <w:rPr>
      <w:color w:val="404040"/>
    </w:r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63">
    <w:name w:val="Lined - Accent 3"/>
    <w:qFormat/>
    <w:uiPriority w:val="99"/>
    <w:pPr>
      <w:spacing w:after="0" w:line="240" w:lineRule="auto"/>
    </w:pPr>
    <w:rPr>
      <w:color w:val="404040"/>
    </w:r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64">
    <w:name w:val="Lined - Accent 4"/>
    <w:qFormat/>
    <w:uiPriority w:val="99"/>
    <w:pPr>
      <w:spacing w:after="0" w:line="240" w:lineRule="auto"/>
    </w:pPr>
    <w:rPr>
      <w:color w:val="404040"/>
    </w:r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65">
    <w:name w:val="Lined - Accent 5"/>
    <w:qFormat/>
    <w:uiPriority w:val="99"/>
    <w:pPr>
      <w:spacing w:after="0" w:line="240" w:lineRule="auto"/>
    </w:pPr>
    <w:rPr>
      <w:color w:val="404040"/>
    </w:r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66">
    <w:name w:val="Lined - Accent 6"/>
    <w:qFormat/>
    <w:uiPriority w:val="99"/>
    <w:pPr>
      <w:spacing w:after="0" w:line="240" w:lineRule="auto"/>
    </w:pPr>
    <w:rPr>
      <w:color w:val="404040"/>
    </w:r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67">
    <w:name w:val="Bordered &amp; Lined - Accent"/>
    <w:qFormat/>
    <w:uiPriority w:val="99"/>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68">
    <w:name w:val="Bordered &amp; Lined - Accent 1"/>
    <w:qFormat/>
    <w:uiPriority w:val="99"/>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69">
    <w:name w:val="Bordered &amp; Lined - Accent 2"/>
    <w:qFormat/>
    <w:uiPriority w:val="99"/>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70">
    <w:name w:val="Bordered &amp; Lined - Accent 3"/>
    <w:qFormat/>
    <w:uiPriority w:val="99"/>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71">
    <w:name w:val="Bordered &amp; Lined - Accent 4"/>
    <w:qFormat/>
    <w:uiPriority w:val="99"/>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72">
    <w:name w:val="Bordered &amp; Lined - Accent 5"/>
    <w:qFormat/>
    <w:uiPriority w:val="99"/>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73">
    <w:name w:val="Bordered &amp; Lined - Accent 6"/>
    <w:qFormat/>
    <w:uiPriority w:val="99"/>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74">
    <w:name w:val="Bordered"/>
    <w:qFormat/>
    <w:uiPriority w:val="99"/>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175">
    <w:name w:val="Bordered - Accent 1"/>
    <w:qFormat/>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rFonts w:ascii="Arial" w:hAnsi="Arial"/>
        <w:color w:val="404040"/>
        <w:sz w:val="22"/>
      </w:rPr>
      <w:tcPr>
        <w:tcBorders>
          <w:bottom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themeColor="accent1" w:sz="12" w:space="0"/>
        </w:tcBorders>
      </w:tc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176">
    <w:name w:val="Bordered - Accent 2"/>
    <w:qFormat/>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rFonts w:ascii="Arial" w:hAnsi="Arial"/>
        <w:color w:val="404040"/>
        <w:sz w:val="22"/>
      </w:rPr>
      <w:tcPr>
        <w:tcBorders>
          <w:bottom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795" w:themeColor="accent2" w:themeTint="97" w:sz="12" w:space="0"/>
        </w:tcBorders>
      </w:tc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177">
    <w:name w:val="Bordered - Accent 3"/>
    <w:qFormat/>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rFonts w:ascii="Arial" w:hAnsi="Arial"/>
        <w:color w:val="404040"/>
        <w:sz w:val="22"/>
      </w:rPr>
      <w:tcPr>
        <w:tcBorders>
          <w:bottom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C" w:themeColor="accent3" w:themeTint="98" w:sz="12" w:space="0"/>
        </w:tcBorders>
      </w:tc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178">
    <w:name w:val="Bordered - Accent 4"/>
    <w:qFormat/>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rFonts w:ascii="Arial" w:hAnsi="Arial"/>
        <w:color w:val="404040"/>
        <w:sz w:val="22"/>
      </w:rPr>
      <w:tcPr>
        <w:tcBorders>
          <w:bottom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themeColor="accent4" w:themeTint="9A" w:sz="12" w:space="0"/>
        </w:tcBorders>
      </w:tc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179">
    <w:name w:val="Bordered - Accent 5"/>
    <w:qFormat/>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rFonts w:ascii="Arial" w:hAnsi="Arial"/>
        <w:color w:val="404040"/>
        <w:sz w:val="22"/>
      </w:rPr>
      <w:tcPr>
        <w:tcBorders>
          <w:bottom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themeColor="accent5" w:themeTint="9A" w:sz="12" w:space="0"/>
        </w:tcBorders>
      </w:tc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180">
    <w:name w:val="Bordered - Accent 6"/>
    <w:qFormat/>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rFonts w:ascii="Arial" w:hAnsi="Arial"/>
        <w:color w:val="404040"/>
        <w:sz w:val="22"/>
      </w:rPr>
      <w:tcPr>
        <w:tcBorders>
          <w:bottom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themeColor="accent6" w:themeTint="98" w:sz="12" w:space="0"/>
        </w:tcBorders>
      </w:tc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character" w:customStyle="1" w:styleId="181">
    <w:name w:val="Footnote Text Char"/>
    <w:link w:val="24"/>
    <w:qFormat/>
    <w:uiPriority w:val="99"/>
    <w:rPr>
      <w:sz w:val="18"/>
    </w:rPr>
  </w:style>
  <w:style w:type="character" w:customStyle="1" w:styleId="182">
    <w:name w:val="Endnote Text Char"/>
    <w:link w:val="18"/>
    <w:qFormat/>
    <w:uiPriority w:val="99"/>
    <w:rPr>
      <w:sz w:val="20"/>
    </w:rPr>
  </w:style>
  <w:style w:type="paragraph" w:customStyle="1" w:styleId="183">
    <w:name w:val="TOC Heading"/>
    <w:unhideWhenUsed/>
    <w:qFormat/>
    <w:uiPriority w:val="39"/>
    <w:rPr>
      <w:rFonts w:hint="default" w:ascii="Times New Roman" w:hAnsi="Times New Roman" w:eastAsia="宋体" w:cs="Times New Roman"/>
    </w:rPr>
  </w:style>
  <w:style w:type="paragraph" w:customStyle="1" w:styleId="184">
    <w:name w:val="标题 11"/>
    <w:basedOn w:val="1"/>
    <w:next w:val="1"/>
    <w:link w:val="198"/>
    <w:qFormat/>
    <w:uiPriority w:val="0"/>
    <w:pPr>
      <w:keepNext/>
      <w:keepLines/>
      <w:spacing w:before="240" w:after="120" w:line="300" w:lineRule="auto"/>
      <w:jc w:val="center"/>
      <w:outlineLvl w:val="0"/>
    </w:pPr>
    <w:rPr>
      <w:rFonts w:ascii="宋体"/>
      <w:b/>
      <w:sz w:val="32"/>
      <w:szCs w:val="20"/>
    </w:rPr>
  </w:style>
  <w:style w:type="paragraph" w:customStyle="1" w:styleId="185">
    <w:name w:val="标题 21"/>
    <w:basedOn w:val="1"/>
    <w:next w:val="186"/>
    <w:link w:val="199"/>
    <w:qFormat/>
    <w:uiPriority w:val="0"/>
    <w:pPr>
      <w:keepNext/>
      <w:keepLines/>
      <w:spacing w:before="120" w:line="300" w:lineRule="auto"/>
      <w:jc w:val="center"/>
      <w:outlineLvl w:val="1"/>
    </w:pPr>
    <w:rPr>
      <w:rFonts w:ascii="Arial" w:hAnsi="Arial" w:eastAsia="黑体"/>
      <w:b/>
      <w:sz w:val="30"/>
      <w:szCs w:val="20"/>
    </w:rPr>
  </w:style>
  <w:style w:type="paragraph" w:customStyle="1" w:styleId="186">
    <w:name w:val="正文缩进11"/>
    <w:basedOn w:val="1"/>
    <w:link w:val="200"/>
    <w:qFormat/>
    <w:uiPriority w:val="0"/>
    <w:pPr>
      <w:ind w:firstLine="420"/>
      <w:jc w:val="left"/>
    </w:pPr>
    <w:rPr>
      <w:rFonts w:ascii="宋体"/>
      <w:sz w:val="24"/>
    </w:rPr>
  </w:style>
  <w:style w:type="paragraph" w:customStyle="1" w:styleId="187">
    <w:name w:val="标题 31"/>
    <w:basedOn w:val="1"/>
    <w:next w:val="1"/>
    <w:link w:val="264"/>
    <w:qFormat/>
    <w:uiPriority w:val="0"/>
    <w:pPr>
      <w:keepNext/>
      <w:keepLines/>
      <w:spacing w:before="360" w:after="120"/>
      <w:jc w:val="left"/>
      <w:outlineLvl w:val="2"/>
    </w:pPr>
    <w:rPr>
      <w:rFonts w:ascii="宋体"/>
      <w:b/>
      <w:sz w:val="24"/>
      <w:szCs w:val="20"/>
      <w:u w:val="single"/>
    </w:rPr>
  </w:style>
  <w:style w:type="paragraph" w:customStyle="1" w:styleId="188">
    <w:name w:val="标题 41"/>
    <w:basedOn w:val="1"/>
    <w:next w:val="1"/>
    <w:link w:val="202"/>
    <w:qFormat/>
    <w:uiPriority w:val="0"/>
    <w:pPr>
      <w:keepNext/>
      <w:keepLines/>
      <w:spacing w:before="280" w:after="290" w:line="376" w:lineRule="atLeast"/>
      <w:outlineLvl w:val="3"/>
    </w:pPr>
    <w:rPr>
      <w:rFonts w:ascii="Arial" w:hAnsi="Arial" w:eastAsia="黑体"/>
      <w:b/>
      <w:sz w:val="28"/>
      <w:szCs w:val="20"/>
    </w:rPr>
  </w:style>
  <w:style w:type="paragraph" w:customStyle="1" w:styleId="189">
    <w:name w:val="标题 51"/>
    <w:basedOn w:val="1"/>
    <w:next w:val="1"/>
    <w:link w:val="203"/>
    <w:qFormat/>
    <w:uiPriority w:val="0"/>
    <w:pPr>
      <w:keepNext/>
      <w:keepLines/>
      <w:spacing w:before="280" w:after="290" w:line="376" w:lineRule="atLeast"/>
      <w:outlineLvl w:val="4"/>
    </w:pPr>
    <w:rPr>
      <w:b/>
      <w:sz w:val="28"/>
      <w:szCs w:val="20"/>
    </w:rPr>
  </w:style>
  <w:style w:type="paragraph" w:customStyle="1" w:styleId="190">
    <w:name w:val="标题 61"/>
    <w:basedOn w:val="1"/>
    <w:next w:val="1"/>
    <w:link w:val="204"/>
    <w:qFormat/>
    <w:uiPriority w:val="0"/>
    <w:pPr>
      <w:keepNext/>
      <w:keepLines/>
      <w:spacing w:before="240" w:after="64" w:line="320" w:lineRule="atLeast"/>
      <w:outlineLvl w:val="5"/>
    </w:pPr>
    <w:rPr>
      <w:rFonts w:ascii="Arial" w:hAnsi="Arial" w:eastAsia="黑体"/>
      <w:b/>
      <w:sz w:val="24"/>
      <w:szCs w:val="20"/>
    </w:rPr>
  </w:style>
  <w:style w:type="paragraph" w:customStyle="1" w:styleId="191">
    <w:name w:val="标题 71"/>
    <w:basedOn w:val="1"/>
    <w:next w:val="1"/>
    <w:link w:val="205"/>
    <w:qFormat/>
    <w:uiPriority w:val="0"/>
    <w:pPr>
      <w:keepNext/>
      <w:keepLines/>
      <w:spacing w:before="240" w:after="64" w:line="320" w:lineRule="atLeast"/>
      <w:outlineLvl w:val="6"/>
    </w:pPr>
    <w:rPr>
      <w:b/>
      <w:sz w:val="24"/>
      <w:szCs w:val="20"/>
    </w:rPr>
  </w:style>
  <w:style w:type="paragraph" w:customStyle="1" w:styleId="192">
    <w:name w:val="标题 81"/>
    <w:basedOn w:val="1"/>
    <w:next w:val="1"/>
    <w:link w:val="206"/>
    <w:qFormat/>
    <w:uiPriority w:val="0"/>
    <w:pPr>
      <w:keepNext/>
      <w:keepLines/>
      <w:spacing w:before="240" w:after="64" w:line="320" w:lineRule="atLeast"/>
      <w:outlineLvl w:val="7"/>
    </w:pPr>
    <w:rPr>
      <w:rFonts w:ascii="Arial" w:hAnsi="Arial" w:eastAsia="黑体"/>
      <w:sz w:val="24"/>
      <w:szCs w:val="20"/>
    </w:rPr>
  </w:style>
  <w:style w:type="paragraph" w:customStyle="1" w:styleId="193">
    <w:name w:val="标题 91"/>
    <w:basedOn w:val="1"/>
    <w:next w:val="1"/>
    <w:link w:val="207"/>
    <w:qFormat/>
    <w:uiPriority w:val="0"/>
    <w:pPr>
      <w:keepNext/>
      <w:keepLines/>
      <w:spacing w:before="240" w:after="64" w:line="320" w:lineRule="atLeast"/>
      <w:outlineLvl w:val="8"/>
    </w:pPr>
    <w:rPr>
      <w:rFonts w:ascii="Arial" w:hAnsi="Arial" w:eastAsia="黑体"/>
      <w:szCs w:val="20"/>
    </w:rPr>
  </w:style>
  <w:style w:type="character" w:customStyle="1" w:styleId="194">
    <w:name w:val="默认段落字体1"/>
    <w:link w:val="1"/>
    <w:unhideWhenUsed/>
    <w:qFormat/>
    <w:uiPriority w:val="1"/>
  </w:style>
  <w:style w:type="table" w:customStyle="1" w:styleId="195">
    <w:name w:val="普通表格1"/>
    <w:unhideWhenUsed/>
    <w:qFormat/>
    <w:uiPriority w:val="99"/>
    <w:pPr>
      <w:keepNext w:val="0"/>
      <w:keepLines w:val="0"/>
      <w:widowControl/>
      <w:suppressLineNumbers w:val="0"/>
      <w:spacing w:before="0" w:beforeAutospacing="0" w:after="0" w:afterAutospacing="0"/>
      <w:ind w:left="0" w:right="0"/>
    </w:pPr>
    <w:rPr>
      <w:rFonts w:ascii="Times New Roman" w:hAnsi="Times New Roman" w:cs="Times New Roman"/>
      <w:sz w:val="20"/>
      <w:szCs w:val="20"/>
    </w:rPr>
  </w:style>
  <w:style w:type="paragraph" w:customStyle="1" w:styleId="196">
    <w:name w:val="正文首行缩进1"/>
    <w:basedOn w:val="197"/>
    <w:unhideWhenUsed/>
    <w:qFormat/>
    <w:uiPriority w:val="99"/>
    <w:pPr>
      <w:tabs>
        <w:tab w:val="left" w:pos="567"/>
      </w:tabs>
      <w:spacing w:before="0" w:after="120" w:line="240" w:lineRule="auto"/>
      <w:ind w:firstLine="210"/>
      <w:jc w:val="center"/>
    </w:pPr>
    <w:rPr>
      <w:rFonts w:ascii="Times New Roman" w:hAnsi="Times New Roman"/>
      <w:sz w:val="28"/>
      <w:szCs w:val="28"/>
    </w:rPr>
  </w:style>
  <w:style w:type="paragraph" w:customStyle="1" w:styleId="197">
    <w:name w:val="正文文本1"/>
    <w:basedOn w:val="1"/>
    <w:qFormat/>
    <w:uiPriority w:val="0"/>
    <w:pPr>
      <w:tabs>
        <w:tab w:val="left" w:pos="567"/>
      </w:tabs>
      <w:spacing w:before="120" w:line="22" w:lineRule="atLeast"/>
    </w:pPr>
    <w:rPr>
      <w:rFonts w:ascii="宋体" w:hAnsi="宋体"/>
      <w:sz w:val="24"/>
    </w:rPr>
  </w:style>
  <w:style w:type="character" w:customStyle="1" w:styleId="198">
    <w:name w:val="标题 1 Char"/>
    <w:basedOn w:val="194"/>
    <w:link w:val="184"/>
    <w:qFormat/>
    <w:uiPriority w:val="0"/>
    <w:rPr>
      <w:rFonts w:ascii="宋体"/>
      <w:b/>
      <w:sz w:val="32"/>
    </w:rPr>
  </w:style>
  <w:style w:type="character" w:customStyle="1" w:styleId="199">
    <w:name w:val="标题 2 Char1"/>
    <w:link w:val="185"/>
    <w:qFormat/>
    <w:uiPriority w:val="0"/>
    <w:rPr>
      <w:rFonts w:ascii="Arial" w:hAnsi="Arial" w:eastAsia="黑体"/>
      <w:b/>
      <w:sz w:val="30"/>
      <w:lang w:val="en-US" w:eastAsia="zh-CN" w:bidi="ar-SA"/>
    </w:rPr>
  </w:style>
  <w:style w:type="character" w:customStyle="1" w:styleId="200">
    <w:name w:val="正文缩进 Char1"/>
    <w:link w:val="186"/>
    <w:qFormat/>
    <w:uiPriority w:val="0"/>
    <w:rPr>
      <w:rFonts w:ascii="宋体" w:eastAsia="宋体"/>
      <w:sz w:val="24"/>
      <w:szCs w:val="24"/>
      <w:lang w:val="en-US" w:eastAsia="zh-CN" w:bidi="ar-SA"/>
    </w:rPr>
  </w:style>
  <w:style w:type="character" w:customStyle="1" w:styleId="201">
    <w:name w:val="标题 3 字符"/>
    <w:basedOn w:val="194"/>
    <w:link w:val="187"/>
    <w:qFormat/>
    <w:uiPriority w:val="0"/>
    <w:rPr>
      <w:b/>
      <w:bCs/>
      <w:sz w:val="32"/>
      <w:szCs w:val="32"/>
    </w:rPr>
  </w:style>
  <w:style w:type="character" w:customStyle="1" w:styleId="202">
    <w:name w:val="标题 4 Char"/>
    <w:basedOn w:val="194"/>
    <w:link w:val="188"/>
    <w:qFormat/>
    <w:uiPriority w:val="0"/>
    <w:rPr>
      <w:rFonts w:ascii="Arial" w:hAnsi="Arial" w:eastAsia="黑体"/>
      <w:b/>
      <w:sz w:val="28"/>
    </w:rPr>
  </w:style>
  <w:style w:type="character" w:customStyle="1" w:styleId="203">
    <w:name w:val="标题 5 Char"/>
    <w:basedOn w:val="194"/>
    <w:link w:val="189"/>
    <w:qFormat/>
    <w:uiPriority w:val="0"/>
    <w:rPr>
      <w:b/>
      <w:sz w:val="28"/>
    </w:rPr>
  </w:style>
  <w:style w:type="character" w:customStyle="1" w:styleId="204">
    <w:name w:val="标题 6 Char"/>
    <w:basedOn w:val="194"/>
    <w:link w:val="190"/>
    <w:qFormat/>
    <w:uiPriority w:val="0"/>
    <w:rPr>
      <w:rFonts w:ascii="Arial" w:hAnsi="Arial" w:eastAsia="黑体"/>
      <w:b/>
      <w:sz w:val="24"/>
    </w:rPr>
  </w:style>
  <w:style w:type="character" w:customStyle="1" w:styleId="205">
    <w:name w:val="标题 7 Char"/>
    <w:basedOn w:val="194"/>
    <w:link w:val="191"/>
    <w:qFormat/>
    <w:uiPriority w:val="0"/>
    <w:rPr>
      <w:b/>
      <w:sz w:val="24"/>
    </w:rPr>
  </w:style>
  <w:style w:type="character" w:customStyle="1" w:styleId="206">
    <w:name w:val="标题 8 Char"/>
    <w:basedOn w:val="194"/>
    <w:link w:val="192"/>
    <w:qFormat/>
    <w:uiPriority w:val="0"/>
    <w:rPr>
      <w:rFonts w:ascii="Arial" w:hAnsi="Arial" w:eastAsia="黑体"/>
      <w:sz w:val="24"/>
    </w:rPr>
  </w:style>
  <w:style w:type="character" w:customStyle="1" w:styleId="207">
    <w:name w:val="标题 9 Char"/>
    <w:basedOn w:val="194"/>
    <w:link w:val="193"/>
    <w:qFormat/>
    <w:uiPriority w:val="0"/>
    <w:rPr>
      <w:rFonts w:ascii="Arial" w:hAnsi="Arial" w:eastAsia="黑体"/>
      <w:sz w:val="21"/>
    </w:rPr>
  </w:style>
  <w:style w:type="paragraph" w:customStyle="1" w:styleId="208">
    <w:name w:val="目录 71"/>
    <w:basedOn w:val="1"/>
    <w:next w:val="1"/>
    <w:qFormat/>
    <w:uiPriority w:val="0"/>
    <w:pPr>
      <w:ind w:left="2520"/>
    </w:pPr>
  </w:style>
  <w:style w:type="paragraph" w:customStyle="1" w:styleId="209">
    <w:name w:val="题注1"/>
    <w:basedOn w:val="1"/>
    <w:next w:val="1"/>
    <w:qFormat/>
    <w:uiPriority w:val="0"/>
    <w:pPr>
      <w:spacing w:line="480" w:lineRule="auto"/>
    </w:pPr>
    <w:rPr>
      <w:rFonts w:ascii="华文中宋" w:hAnsi="华文中宋" w:eastAsia="华文中宋"/>
      <w:sz w:val="36"/>
      <w:szCs w:val="20"/>
    </w:rPr>
  </w:style>
  <w:style w:type="paragraph" w:customStyle="1" w:styleId="210">
    <w:name w:val="文档结构图1"/>
    <w:basedOn w:val="1"/>
    <w:link w:val="211"/>
    <w:qFormat/>
    <w:uiPriority w:val="0"/>
    <w:pPr>
      <w:shd w:val="clear" w:color="auto" w:fill="000080"/>
    </w:pPr>
  </w:style>
  <w:style w:type="character" w:customStyle="1" w:styleId="211">
    <w:name w:val="文档结构图 Char"/>
    <w:basedOn w:val="194"/>
    <w:link w:val="210"/>
    <w:qFormat/>
    <w:uiPriority w:val="0"/>
    <w:rPr>
      <w:sz w:val="21"/>
      <w:szCs w:val="24"/>
      <w:shd w:val="clear" w:color="auto" w:fill="000080"/>
    </w:rPr>
  </w:style>
  <w:style w:type="paragraph" w:customStyle="1" w:styleId="212">
    <w:name w:val="批注文字1"/>
    <w:basedOn w:val="1"/>
    <w:link w:val="213"/>
    <w:qFormat/>
    <w:uiPriority w:val="99"/>
    <w:pPr>
      <w:jc w:val="left"/>
    </w:pPr>
  </w:style>
  <w:style w:type="character" w:customStyle="1" w:styleId="213">
    <w:name w:val="批注文字 Char1"/>
    <w:link w:val="212"/>
    <w:qFormat/>
    <w:uiPriority w:val="99"/>
    <w:rPr>
      <w:sz w:val="21"/>
      <w:szCs w:val="24"/>
    </w:rPr>
  </w:style>
  <w:style w:type="paragraph" w:customStyle="1" w:styleId="214">
    <w:name w:val="正文文本 31"/>
    <w:basedOn w:val="1"/>
    <w:link w:val="215"/>
    <w:qFormat/>
    <w:uiPriority w:val="0"/>
    <w:pPr>
      <w:spacing w:after="120"/>
    </w:pPr>
    <w:rPr>
      <w:sz w:val="16"/>
      <w:szCs w:val="16"/>
    </w:rPr>
  </w:style>
  <w:style w:type="character" w:customStyle="1" w:styleId="215">
    <w:name w:val="正文文本 3 Char"/>
    <w:basedOn w:val="194"/>
    <w:link w:val="214"/>
    <w:qFormat/>
    <w:uiPriority w:val="0"/>
    <w:rPr>
      <w:sz w:val="16"/>
      <w:szCs w:val="16"/>
    </w:rPr>
  </w:style>
  <w:style w:type="paragraph" w:customStyle="1" w:styleId="216">
    <w:name w:val="正文文本2"/>
    <w:basedOn w:val="1"/>
    <w:link w:val="217"/>
    <w:qFormat/>
    <w:uiPriority w:val="0"/>
    <w:pPr>
      <w:tabs>
        <w:tab w:val="left" w:pos="567"/>
      </w:tabs>
      <w:spacing w:before="120" w:line="22" w:lineRule="atLeast"/>
    </w:pPr>
    <w:rPr>
      <w:rFonts w:ascii="宋体" w:hAnsi="宋体"/>
      <w:sz w:val="24"/>
    </w:rPr>
  </w:style>
  <w:style w:type="character" w:customStyle="1" w:styleId="217">
    <w:name w:val="正文文本 Char"/>
    <w:basedOn w:val="194"/>
    <w:link w:val="216"/>
    <w:qFormat/>
    <w:uiPriority w:val="0"/>
    <w:rPr>
      <w:rFonts w:ascii="宋体" w:hAnsi="宋体"/>
      <w:sz w:val="24"/>
      <w:szCs w:val="24"/>
    </w:rPr>
  </w:style>
  <w:style w:type="paragraph" w:customStyle="1" w:styleId="218">
    <w:name w:val="正文文本缩进11"/>
    <w:basedOn w:val="1"/>
    <w:link w:val="219"/>
    <w:qFormat/>
    <w:uiPriority w:val="0"/>
    <w:pPr>
      <w:spacing w:line="360" w:lineRule="auto"/>
      <w:ind w:firstLine="570"/>
    </w:pPr>
    <w:rPr>
      <w:sz w:val="24"/>
    </w:rPr>
  </w:style>
  <w:style w:type="character" w:customStyle="1" w:styleId="219">
    <w:name w:val="正文文本缩进 Char2"/>
    <w:link w:val="218"/>
    <w:qFormat/>
    <w:uiPriority w:val="0"/>
    <w:rPr>
      <w:rFonts w:eastAsia="宋体"/>
      <w:sz w:val="24"/>
      <w:szCs w:val="24"/>
      <w:lang w:val="en-US" w:eastAsia="zh-CN" w:bidi="ar-SA"/>
    </w:rPr>
  </w:style>
  <w:style w:type="paragraph" w:customStyle="1" w:styleId="220">
    <w:name w:val="列表 21"/>
    <w:basedOn w:val="1"/>
    <w:qFormat/>
    <w:uiPriority w:val="0"/>
    <w:pPr>
      <w:ind w:left="100" w:hanging="200"/>
    </w:pPr>
  </w:style>
  <w:style w:type="paragraph" w:customStyle="1" w:styleId="221">
    <w:name w:val="文本块1"/>
    <w:basedOn w:val="1"/>
    <w:qFormat/>
    <w:uiPriority w:val="0"/>
    <w:pPr>
      <w:widowControl/>
      <w:ind w:left="480" w:right="-341" w:firstLine="513"/>
    </w:pPr>
    <w:rPr>
      <w:sz w:val="24"/>
      <w:szCs w:val="20"/>
    </w:rPr>
  </w:style>
  <w:style w:type="paragraph" w:customStyle="1" w:styleId="222">
    <w:name w:val="目录 51"/>
    <w:basedOn w:val="1"/>
    <w:next w:val="1"/>
    <w:qFormat/>
    <w:uiPriority w:val="0"/>
    <w:pPr>
      <w:ind w:left="1680"/>
    </w:pPr>
  </w:style>
  <w:style w:type="paragraph" w:customStyle="1" w:styleId="223">
    <w:name w:val="目录 31"/>
    <w:basedOn w:val="1"/>
    <w:next w:val="1"/>
    <w:qFormat/>
    <w:uiPriority w:val="39"/>
    <w:pPr>
      <w:ind w:left="840"/>
    </w:pPr>
  </w:style>
  <w:style w:type="paragraph" w:customStyle="1" w:styleId="224">
    <w:name w:val="纯文本1"/>
    <w:basedOn w:val="1"/>
    <w:link w:val="225"/>
    <w:qFormat/>
    <w:uiPriority w:val="0"/>
    <w:rPr>
      <w:rFonts w:hint="eastAsia" w:ascii="宋体" w:hAnsi="Courier New"/>
      <w:szCs w:val="20"/>
    </w:rPr>
  </w:style>
  <w:style w:type="character" w:customStyle="1" w:styleId="225">
    <w:name w:val="纯文本 Char"/>
    <w:basedOn w:val="194"/>
    <w:link w:val="224"/>
    <w:qFormat/>
    <w:uiPriority w:val="0"/>
    <w:rPr>
      <w:rFonts w:hint="eastAsia" w:ascii="宋体" w:hAnsi="Courier New" w:eastAsia="宋体" w:cs="宋体"/>
      <w:sz w:val="21"/>
    </w:rPr>
  </w:style>
  <w:style w:type="paragraph" w:customStyle="1" w:styleId="226">
    <w:name w:val="目录 81"/>
    <w:basedOn w:val="1"/>
    <w:next w:val="1"/>
    <w:qFormat/>
    <w:uiPriority w:val="0"/>
    <w:pPr>
      <w:ind w:left="2940"/>
    </w:pPr>
  </w:style>
  <w:style w:type="paragraph" w:customStyle="1" w:styleId="227">
    <w:name w:val="日期1"/>
    <w:basedOn w:val="1"/>
    <w:next w:val="1"/>
    <w:link w:val="228"/>
    <w:qFormat/>
    <w:uiPriority w:val="0"/>
    <w:pPr>
      <w:ind w:left="100"/>
    </w:pPr>
    <w:rPr>
      <w:rFonts w:ascii="仿宋_GB2312" w:hAnsi="宋体" w:eastAsia="仿宋_GB2312"/>
      <w:color w:val="000000"/>
      <w:sz w:val="24"/>
    </w:rPr>
  </w:style>
  <w:style w:type="character" w:customStyle="1" w:styleId="228">
    <w:name w:val="日期 Char"/>
    <w:basedOn w:val="194"/>
    <w:link w:val="227"/>
    <w:qFormat/>
    <w:uiPriority w:val="0"/>
    <w:rPr>
      <w:rFonts w:ascii="仿宋_GB2312" w:hAnsi="宋体" w:eastAsia="仿宋_GB2312"/>
      <w:color w:val="000000"/>
      <w:sz w:val="24"/>
      <w:szCs w:val="24"/>
    </w:rPr>
  </w:style>
  <w:style w:type="paragraph" w:customStyle="1" w:styleId="229">
    <w:name w:val="正文文本缩进 21"/>
    <w:basedOn w:val="1"/>
    <w:link w:val="230"/>
    <w:qFormat/>
    <w:uiPriority w:val="0"/>
    <w:pPr>
      <w:ind w:firstLine="480"/>
    </w:pPr>
    <w:rPr>
      <w:rFonts w:ascii="仿宋_GB2312" w:eastAsia="仿宋_GB2312"/>
      <w:sz w:val="24"/>
    </w:rPr>
  </w:style>
  <w:style w:type="character" w:customStyle="1" w:styleId="230">
    <w:name w:val="正文文本缩进 2 Char"/>
    <w:basedOn w:val="194"/>
    <w:link w:val="229"/>
    <w:qFormat/>
    <w:uiPriority w:val="0"/>
    <w:rPr>
      <w:rFonts w:ascii="仿宋_GB2312" w:eastAsia="仿宋_GB2312"/>
      <w:sz w:val="24"/>
      <w:szCs w:val="24"/>
    </w:rPr>
  </w:style>
  <w:style w:type="paragraph" w:customStyle="1" w:styleId="231">
    <w:name w:val="批注框文本1"/>
    <w:basedOn w:val="1"/>
    <w:link w:val="232"/>
    <w:qFormat/>
    <w:uiPriority w:val="0"/>
    <w:rPr>
      <w:sz w:val="18"/>
      <w:szCs w:val="18"/>
    </w:rPr>
  </w:style>
  <w:style w:type="character" w:customStyle="1" w:styleId="232">
    <w:name w:val="批注框文本 Char"/>
    <w:basedOn w:val="194"/>
    <w:link w:val="231"/>
    <w:qFormat/>
    <w:uiPriority w:val="0"/>
    <w:rPr>
      <w:sz w:val="18"/>
      <w:szCs w:val="18"/>
    </w:rPr>
  </w:style>
  <w:style w:type="paragraph" w:customStyle="1" w:styleId="233">
    <w:name w:val="页脚1"/>
    <w:basedOn w:val="1"/>
    <w:link w:val="234"/>
    <w:qFormat/>
    <w:uiPriority w:val="99"/>
    <w:pPr>
      <w:tabs>
        <w:tab w:val="center" w:pos="4153"/>
        <w:tab w:val="right" w:pos="8306"/>
      </w:tabs>
      <w:jc w:val="left"/>
    </w:pPr>
    <w:rPr>
      <w:rFonts w:ascii="宋体"/>
      <w:sz w:val="18"/>
      <w:szCs w:val="20"/>
    </w:rPr>
  </w:style>
  <w:style w:type="character" w:customStyle="1" w:styleId="234">
    <w:name w:val="页脚 Char1"/>
    <w:link w:val="233"/>
    <w:qFormat/>
    <w:uiPriority w:val="99"/>
    <w:rPr>
      <w:rFonts w:ascii="宋体" w:eastAsia="宋体"/>
      <w:sz w:val="18"/>
      <w:lang w:val="en-US" w:eastAsia="zh-CN" w:bidi="ar-SA"/>
    </w:rPr>
  </w:style>
  <w:style w:type="paragraph" w:customStyle="1" w:styleId="235">
    <w:name w:val="页眉1"/>
    <w:basedOn w:val="1"/>
    <w:link w:val="236"/>
    <w:qFormat/>
    <w:uiPriority w:val="0"/>
    <w:pPr>
      <w:pBdr>
        <w:bottom w:val="single" w:color="000000" w:sz="6" w:space="1"/>
      </w:pBdr>
      <w:tabs>
        <w:tab w:val="center" w:pos="4153"/>
        <w:tab w:val="right" w:pos="8306"/>
      </w:tabs>
      <w:jc w:val="center"/>
    </w:pPr>
    <w:rPr>
      <w:sz w:val="18"/>
      <w:szCs w:val="18"/>
    </w:rPr>
  </w:style>
  <w:style w:type="character" w:customStyle="1" w:styleId="236">
    <w:name w:val="页眉 Char1"/>
    <w:link w:val="235"/>
    <w:qFormat/>
    <w:uiPriority w:val="0"/>
    <w:rPr>
      <w:rFonts w:eastAsia="宋体"/>
      <w:sz w:val="18"/>
      <w:szCs w:val="18"/>
      <w:lang w:val="en-US" w:eastAsia="zh-CN" w:bidi="ar-SA"/>
    </w:rPr>
  </w:style>
  <w:style w:type="paragraph" w:customStyle="1" w:styleId="237">
    <w:name w:val="目录 11"/>
    <w:basedOn w:val="1"/>
    <w:next w:val="1"/>
    <w:qFormat/>
    <w:uiPriority w:val="39"/>
    <w:pPr>
      <w:tabs>
        <w:tab w:val="left" w:pos="1050"/>
        <w:tab w:val="right" w:leader="dot" w:pos="8937"/>
      </w:tabs>
      <w:spacing w:line="300" w:lineRule="auto"/>
    </w:pPr>
    <w:rPr>
      <w:rFonts w:ascii="宋体" w:hAnsi="宋体"/>
      <w:b/>
      <w:sz w:val="24"/>
    </w:rPr>
  </w:style>
  <w:style w:type="paragraph" w:customStyle="1" w:styleId="238">
    <w:name w:val="目录 41"/>
    <w:basedOn w:val="1"/>
    <w:next w:val="1"/>
    <w:qFormat/>
    <w:uiPriority w:val="0"/>
    <w:pPr>
      <w:ind w:left="1260"/>
    </w:pPr>
  </w:style>
  <w:style w:type="paragraph" w:customStyle="1" w:styleId="239">
    <w:name w:val="目录 61"/>
    <w:basedOn w:val="1"/>
    <w:next w:val="1"/>
    <w:qFormat/>
    <w:uiPriority w:val="0"/>
    <w:pPr>
      <w:ind w:left="2100"/>
    </w:pPr>
  </w:style>
  <w:style w:type="paragraph" w:customStyle="1" w:styleId="240">
    <w:name w:val="正文文本缩进 31"/>
    <w:basedOn w:val="1"/>
    <w:link w:val="241"/>
    <w:qFormat/>
    <w:uiPriority w:val="0"/>
    <w:pPr>
      <w:spacing w:before="120" w:line="22" w:lineRule="atLeast"/>
      <w:ind w:left="720" w:firstLine="480"/>
      <w:jc w:val="left"/>
    </w:pPr>
    <w:rPr>
      <w:rFonts w:ascii="宋体"/>
      <w:sz w:val="24"/>
      <w:szCs w:val="20"/>
    </w:rPr>
  </w:style>
  <w:style w:type="character" w:customStyle="1" w:styleId="241">
    <w:name w:val="正文文本缩进 3 Char"/>
    <w:basedOn w:val="194"/>
    <w:link w:val="240"/>
    <w:qFormat/>
    <w:uiPriority w:val="0"/>
    <w:rPr>
      <w:rFonts w:ascii="宋体"/>
      <w:sz w:val="24"/>
    </w:rPr>
  </w:style>
  <w:style w:type="paragraph" w:customStyle="1" w:styleId="242">
    <w:name w:val="目录 21"/>
    <w:basedOn w:val="1"/>
    <w:next w:val="1"/>
    <w:qFormat/>
    <w:uiPriority w:val="39"/>
    <w:pPr>
      <w:tabs>
        <w:tab w:val="right" w:leader="dot" w:pos="8937"/>
      </w:tabs>
      <w:spacing w:line="312" w:lineRule="auto"/>
      <w:ind w:left="420"/>
    </w:pPr>
  </w:style>
  <w:style w:type="paragraph" w:customStyle="1" w:styleId="243">
    <w:name w:val="目录 91"/>
    <w:basedOn w:val="1"/>
    <w:next w:val="1"/>
    <w:qFormat/>
    <w:uiPriority w:val="0"/>
    <w:pPr>
      <w:ind w:left="3360"/>
    </w:pPr>
  </w:style>
  <w:style w:type="paragraph" w:customStyle="1" w:styleId="244">
    <w:name w:val="HTML 预设格式1"/>
    <w:basedOn w:val="1"/>
    <w:link w:val="245"/>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sz w:val="24"/>
    </w:rPr>
  </w:style>
  <w:style w:type="character" w:customStyle="1" w:styleId="245">
    <w:name w:val="HTML 预设格式 Char"/>
    <w:basedOn w:val="194"/>
    <w:link w:val="244"/>
    <w:qFormat/>
    <w:uiPriority w:val="0"/>
    <w:rPr>
      <w:rFonts w:ascii="宋体" w:hAnsi="宋体" w:cs="宋体"/>
      <w:sz w:val="24"/>
      <w:szCs w:val="24"/>
    </w:rPr>
  </w:style>
  <w:style w:type="paragraph" w:customStyle="1" w:styleId="246">
    <w:name w:val="普通(网站)11"/>
    <w:basedOn w:val="1"/>
    <w:unhideWhenUsed/>
    <w:qFormat/>
    <w:uiPriority w:val="99"/>
    <w:pPr>
      <w:widowControl/>
      <w:spacing w:before="100" w:beforeAutospacing="1" w:after="100" w:afterAutospacing="1"/>
      <w:jc w:val="left"/>
    </w:pPr>
    <w:rPr>
      <w:rFonts w:ascii="宋体" w:hAnsi="宋体" w:cs="宋体"/>
      <w:sz w:val="24"/>
    </w:rPr>
  </w:style>
  <w:style w:type="paragraph" w:customStyle="1" w:styleId="247">
    <w:name w:val="索引 11"/>
    <w:basedOn w:val="1"/>
    <w:next w:val="1"/>
    <w:qFormat/>
    <w:uiPriority w:val="0"/>
    <w:rPr>
      <w:szCs w:val="20"/>
    </w:rPr>
  </w:style>
  <w:style w:type="paragraph" w:customStyle="1" w:styleId="248">
    <w:name w:val="标题1"/>
    <w:basedOn w:val="1"/>
    <w:link w:val="249"/>
    <w:qFormat/>
    <w:uiPriority w:val="0"/>
    <w:pPr>
      <w:jc w:val="center"/>
      <w:outlineLvl w:val="0"/>
    </w:pPr>
    <w:rPr>
      <w:b/>
      <w:sz w:val="32"/>
      <w:szCs w:val="20"/>
    </w:rPr>
  </w:style>
  <w:style w:type="character" w:customStyle="1" w:styleId="249">
    <w:name w:val="标题 Char1"/>
    <w:link w:val="248"/>
    <w:qFormat/>
    <w:uiPriority w:val="0"/>
    <w:rPr>
      <w:b/>
      <w:sz w:val="32"/>
    </w:rPr>
  </w:style>
  <w:style w:type="paragraph" w:customStyle="1" w:styleId="250">
    <w:name w:val="批注主题1"/>
    <w:basedOn w:val="212"/>
    <w:next w:val="212"/>
    <w:link w:val="251"/>
    <w:qFormat/>
    <w:uiPriority w:val="0"/>
    <w:rPr>
      <w:b/>
      <w:bCs/>
    </w:rPr>
  </w:style>
  <w:style w:type="character" w:customStyle="1" w:styleId="251">
    <w:name w:val="批注主题 Char"/>
    <w:basedOn w:val="252"/>
    <w:link w:val="250"/>
    <w:qFormat/>
    <w:uiPriority w:val="0"/>
    <w:rPr>
      <w:rFonts w:ascii="Times New Roman" w:hAnsi="Times New Roman" w:eastAsia="宋体" w:cs="Times New Roman"/>
      <w:b/>
      <w:bCs/>
      <w:sz w:val="21"/>
      <w:szCs w:val="24"/>
      <w:lang w:val="en-US" w:eastAsia="zh-CN" w:bidi="ar-SA"/>
    </w:rPr>
  </w:style>
  <w:style w:type="character" w:customStyle="1" w:styleId="252">
    <w:name w:val="批注文字 字符"/>
    <w:link w:val="1"/>
    <w:qFormat/>
    <w:uiPriority w:val="99"/>
    <w:rPr>
      <w:rFonts w:ascii="Times New Roman" w:hAnsi="Times New Roman" w:eastAsia="宋体" w:cs="Times New Roman"/>
      <w:sz w:val="24"/>
      <w:lang w:val="en-US" w:eastAsia="zh-CN" w:bidi="ar-SA"/>
    </w:rPr>
  </w:style>
  <w:style w:type="paragraph" w:customStyle="1" w:styleId="253">
    <w:name w:val="正文首行缩进 21"/>
    <w:basedOn w:val="218"/>
    <w:link w:val="254"/>
    <w:qFormat/>
    <w:uiPriority w:val="0"/>
    <w:pPr>
      <w:spacing w:after="120" w:line="480" w:lineRule="exact"/>
      <w:ind w:left="420" w:firstLine="420"/>
    </w:pPr>
    <w:rPr>
      <w:szCs w:val="20"/>
    </w:rPr>
  </w:style>
  <w:style w:type="character" w:customStyle="1" w:styleId="254">
    <w:name w:val="正文首行缩进 2 Char"/>
    <w:basedOn w:val="219"/>
    <w:link w:val="253"/>
    <w:qFormat/>
    <w:uiPriority w:val="0"/>
    <w:rPr>
      <w:rFonts w:eastAsia="宋体"/>
      <w:sz w:val="24"/>
      <w:szCs w:val="24"/>
      <w:lang w:val="en-US" w:eastAsia="zh-CN" w:bidi="ar-SA"/>
    </w:rPr>
  </w:style>
  <w:style w:type="table" w:customStyle="1" w:styleId="255">
    <w:name w:val="网格型1"/>
    <w:basedOn w:val="195"/>
    <w:qFormat/>
    <w:uiPriority w:val="39"/>
  </w:style>
  <w:style w:type="table" w:customStyle="1" w:styleId="256">
    <w:name w:val="中等深浅网格 1 - 强调文字颜色 21"/>
    <w:basedOn w:val="195"/>
    <w:qFormat/>
    <w:uiPriority w:val="0"/>
    <w:rPr>
      <w:sz w:val="21"/>
      <w:szCs w:val="24"/>
    </w:rPr>
  </w:style>
  <w:style w:type="character" w:customStyle="1" w:styleId="257">
    <w:name w:val="要点11"/>
    <w:link w:val="1"/>
    <w:qFormat/>
    <w:uiPriority w:val="0"/>
    <w:rPr>
      <w:b/>
      <w:bCs/>
    </w:rPr>
  </w:style>
  <w:style w:type="character" w:customStyle="1" w:styleId="258">
    <w:name w:val="页码1"/>
    <w:basedOn w:val="194"/>
    <w:link w:val="1"/>
    <w:qFormat/>
    <w:uiPriority w:val="0"/>
  </w:style>
  <w:style w:type="character" w:customStyle="1" w:styleId="259">
    <w:name w:val="已访问的超链接1"/>
    <w:link w:val="1"/>
    <w:qFormat/>
    <w:uiPriority w:val="0"/>
    <w:rPr>
      <w:color w:val="800080"/>
      <w:u w:val="single"/>
    </w:rPr>
  </w:style>
  <w:style w:type="character" w:customStyle="1" w:styleId="260">
    <w:name w:val="强调1"/>
    <w:link w:val="1"/>
    <w:qFormat/>
    <w:uiPriority w:val="0"/>
    <w:rPr>
      <w:color w:val="CC0033"/>
    </w:rPr>
  </w:style>
  <w:style w:type="character" w:customStyle="1" w:styleId="261">
    <w:name w:val="超链接1"/>
    <w:link w:val="1"/>
    <w:qFormat/>
    <w:uiPriority w:val="99"/>
    <w:rPr>
      <w:color w:val="0000FF"/>
      <w:u w:val="single"/>
    </w:rPr>
  </w:style>
  <w:style w:type="character" w:customStyle="1" w:styleId="262">
    <w:name w:val="批注引用1"/>
    <w:link w:val="1"/>
    <w:qFormat/>
    <w:uiPriority w:val="99"/>
    <w:rPr>
      <w:sz w:val="21"/>
      <w:szCs w:val="21"/>
    </w:rPr>
  </w:style>
  <w:style w:type="character" w:customStyle="1" w:styleId="263">
    <w:name w:val="HTML 引文1"/>
    <w:link w:val="1"/>
    <w:qFormat/>
    <w:uiPriority w:val="0"/>
    <w:rPr>
      <w:i/>
      <w:iCs/>
    </w:rPr>
  </w:style>
  <w:style w:type="character" w:customStyle="1" w:styleId="264">
    <w:name w:val="标题 3 Char1"/>
    <w:link w:val="187"/>
    <w:qFormat/>
    <w:uiPriority w:val="0"/>
    <w:rPr>
      <w:rFonts w:ascii="宋体" w:eastAsia="宋体"/>
      <w:b/>
      <w:sz w:val="24"/>
      <w:u w:val="single"/>
      <w:lang w:val="en-US" w:eastAsia="zh-CN" w:bidi="ar-SA"/>
    </w:rPr>
  </w:style>
  <w:style w:type="character" w:customStyle="1" w:styleId="265">
    <w:name w:val="要点1"/>
    <w:link w:val="1"/>
    <w:qFormat/>
    <w:uiPriority w:val="0"/>
    <w:rPr>
      <w:sz w:val="21"/>
      <w:szCs w:val="24"/>
      <w:lang w:val="en-US" w:eastAsia="zh-CN" w:bidi="ar-SA"/>
    </w:rPr>
  </w:style>
  <w:style w:type="character" w:customStyle="1" w:styleId="266">
    <w:name w:val="c21"/>
    <w:link w:val="1"/>
    <w:qFormat/>
    <w:uiPriority w:val="0"/>
    <w:rPr>
      <w:rFonts w:ascii="ˎ̥" w:hAnsi="ˎ̥"/>
      <w:color w:val="000000"/>
      <w:sz w:val="20"/>
      <w:szCs w:val="20"/>
      <w:u w:val="none"/>
    </w:rPr>
  </w:style>
  <w:style w:type="character" w:customStyle="1" w:styleId="267">
    <w:name w:val="title4"/>
    <w:link w:val="1"/>
    <w:qFormat/>
    <w:uiPriority w:val="0"/>
    <w:rPr>
      <w:b/>
      <w:bCs/>
      <w:color w:val="1D87B3"/>
      <w:sz w:val="15"/>
      <w:szCs w:val="15"/>
    </w:rPr>
  </w:style>
  <w:style w:type="character" w:customStyle="1" w:styleId="268">
    <w:name w:val="标题 2 Char Char"/>
    <w:link w:val="1"/>
    <w:qFormat/>
    <w:uiPriority w:val="0"/>
    <w:rPr>
      <w:rFonts w:ascii="Arial" w:hAnsi="Arial" w:eastAsia="黑体"/>
      <w:b/>
      <w:bCs/>
      <w:sz w:val="32"/>
      <w:szCs w:val="32"/>
      <w:lang w:val="en-US" w:eastAsia="zh-CN" w:bidi="ar-SA"/>
    </w:rPr>
  </w:style>
  <w:style w:type="character" w:customStyle="1" w:styleId="269">
    <w:name w:val="black1"/>
    <w:link w:val="1"/>
    <w:qFormat/>
    <w:uiPriority w:val="0"/>
    <w:rPr>
      <w:color w:val="000000"/>
    </w:rPr>
  </w:style>
  <w:style w:type="character" w:customStyle="1" w:styleId="270">
    <w:name w:val="street-address"/>
    <w:basedOn w:val="194"/>
    <w:link w:val="1"/>
    <w:qFormat/>
    <w:uiPriority w:val="0"/>
  </w:style>
  <w:style w:type="character" w:customStyle="1" w:styleId="271">
    <w:name w:val="locality"/>
    <w:basedOn w:val="194"/>
    <w:link w:val="1"/>
    <w:qFormat/>
    <w:uiPriority w:val="0"/>
  </w:style>
  <w:style w:type="character" w:customStyle="1" w:styleId="272">
    <w:name w:val="正文文本缩进 Char1"/>
    <w:link w:val="273"/>
    <w:qFormat/>
    <w:uiPriority w:val="0"/>
    <w:rPr>
      <w:rFonts w:ascii="宋体" w:hAnsi="宋体" w:eastAsia="宋体"/>
      <w:sz w:val="24"/>
      <w:szCs w:val="24"/>
      <w:lang w:bidi="ar-SA"/>
    </w:rPr>
  </w:style>
  <w:style w:type="paragraph" w:customStyle="1" w:styleId="273">
    <w:name w:val="正文文本缩进1"/>
    <w:basedOn w:val="1"/>
    <w:link w:val="272"/>
    <w:qFormat/>
    <w:uiPriority w:val="0"/>
    <w:pPr>
      <w:spacing w:line="480" w:lineRule="exact"/>
      <w:ind w:firstLine="480"/>
    </w:pPr>
    <w:rPr>
      <w:rFonts w:ascii="宋体" w:hAnsi="宋体"/>
      <w:sz w:val="24"/>
    </w:rPr>
  </w:style>
  <w:style w:type="character" w:customStyle="1" w:styleId="274">
    <w:name w:val="Char Char11"/>
    <w:link w:val="1"/>
    <w:qFormat/>
    <w:uiPriority w:val="0"/>
    <w:rPr>
      <w:rFonts w:ascii="宋体" w:eastAsia="宋体"/>
      <w:b/>
      <w:sz w:val="24"/>
      <w:u w:val="single"/>
      <w:lang w:val="en-US" w:eastAsia="zh-CN" w:bidi="ar-SA"/>
    </w:rPr>
  </w:style>
  <w:style w:type="character" w:customStyle="1" w:styleId="275">
    <w:name w:val="txt"/>
    <w:basedOn w:val="194"/>
    <w:link w:val="1"/>
    <w:qFormat/>
    <w:uiPriority w:val="0"/>
  </w:style>
  <w:style w:type="character" w:customStyle="1" w:styleId="276">
    <w:name w:val="正文缩进 Char Char"/>
    <w:link w:val="277"/>
    <w:qFormat/>
    <w:uiPriority w:val="0"/>
    <w:rPr>
      <w:rFonts w:ascii="宋体" w:eastAsia="宋体"/>
      <w:color w:val="000000"/>
      <w:sz w:val="28"/>
      <w:lang w:bidi="ar-SA"/>
    </w:rPr>
  </w:style>
  <w:style w:type="paragraph" w:customStyle="1" w:styleId="277">
    <w:name w:val="正文缩进1"/>
    <w:basedOn w:val="1"/>
    <w:link w:val="276"/>
    <w:qFormat/>
    <w:uiPriority w:val="0"/>
    <w:pPr>
      <w:widowControl/>
      <w:spacing w:line="480" w:lineRule="exact"/>
      <w:ind w:firstLine="567"/>
    </w:pPr>
    <w:rPr>
      <w:rFonts w:ascii="宋体"/>
      <w:color w:val="000000"/>
      <w:sz w:val="28"/>
      <w:szCs w:val="20"/>
    </w:rPr>
  </w:style>
  <w:style w:type="character" w:customStyle="1" w:styleId="278">
    <w:name w:val="普通文字1 Char1"/>
    <w:link w:val="1"/>
    <w:qFormat/>
    <w:uiPriority w:val="0"/>
    <w:rPr>
      <w:rFonts w:ascii="宋体" w:hAnsi="Courier New" w:eastAsia="宋体"/>
      <w:sz w:val="21"/>
      <w:lang w:val="en-US" w:eastAsia="zh-CN" w:bidi="ar-SA"/>
    </w:rPr>
  </w:style>
  <w:style w:type="character" w:customStyle="1" w:styleId="279">
    <w:name w:val="chanpin1"/>
    <w:link w:val="1"/>
    <w:qFormat/>
    <w:uiPriority w:val="0"/>
    <w:rPr>
      <w:rFonts w:ascii="ˎ̥" w:hAnsi="ˎ̥"/>
      <w:color w:val="000000"/>
      <w:sz w:val="20"/>
      <w:szCs w:val="20"/>
      <w:u w:val="none"/>
    </w:rPr>
  </w:style>
  <w:style w:type="character" w:customStyle="1" w:styleId="280">
    <w:name w:val="列出段落 Char1"/>
    <w:link w:val="281"/>
    <w:qFormat/>
    <w:uiPriority w:val="34"/>
    <w:rPr>
      <w:rFonts w:ascii="Calibri" w:hAnsi="Calibri" w:eastAsia="宋体"/>
      <w:sz w:val="21"/>
      <w:szCs w:val="22"/>
      <w:lang w:val="en-US" w:eastAsia="zh-CN" w:bidi="ar-SA"/>
    </w:rPr>
  </w:style>
  <w:style w:type="paragraph" w:customStyle="1" w:styleId="281">
    <w:name w:val="列出段落"/>
    <w:basedOn w:val="1"/>
    <w:link w:val="280"/>
    <w:qFormat/>
    <w:uiPriority w:val="34"/>
    <w:pPr>
      <w:ind w:firstLine="420"/>
    </w:pPr>
    <w:rPr>
      <w:rFonts w:ascii="Calibri" w:hAnsi="Calibri"/>
      <w:szCs w:val="22"/>
    </w:rPr>
  </w:style>
  <w:style w:type="character" w:customStyle="1" w:styleId="282">
    <w:name w:val="标题 3 Char Char"/>
    <w:link w:val="1"/>
    <w:qFormat/>
    <w:uiPriority w:val="0"/>
    <w:rPr>
      <w:rFonts w:eastAsia="宋体"/>
      <w:b/>
      <w:bCs/>
      <w:sz w:val="32"/>
      <w:szCs w:val="32"/>
      <w:lang w:val="en-US" w:eastAsia="zh-CN" w:bidi="ar-SA"/>
    </w:rPr>
  </w:style>
  <w:style w:type="character" w:customStyle="1" w:styleId="283">
    <w:name w:val="段1 Char"/>
    <w:link w:val="1"/>
    <w:qFormat/>
    <w:uiPriority w:val="0"/>
    <w:rPr>
      <w:rFonts w:ascii="宋体" w:eastAsia="宋体"/>
      <w:sz w:val="24"/>
      <w:lang w:val="en-US" w:eastAsia="zh-CN" w:bidi="ar-SA"/>
    </w:rPr>
  </w:style>
  <w:style w:type="character" w:customStyle="1" w:styleId="284">
    <w:name w:val="chanpin拷贝"/>
    <w:basedOn w:val="194"/>
    <w:link w:val="1"/>
    <w:qFormat/>
    <w:uiPriority w:val="0"/>
  </w:style>
  <w:style w:type="character" w:customStyle="1" w:styleId="285">
    <w:name w:val="纯文本 Char1"/>
    <w:link w:val="1"/>
    <w:qFormat/>
    <w:uiPriority w:val="0"/>
    <w:rPr>
      <w:rFonts w:ascii="宋体" w:hAnsi="Courier New" w:eastAsia="宋体"/>
      <w:sz w:val="21"/>
      <w:lang w:val="en-US" w:eastAsia="zh-CN" w:bidi="ar-SA"/>
    </w:rPr>
  </w:style>
  <w:style w:type="character" w:customStyle="1" w:styleId="286">
    <w:name w:val="apple-style-span"/>
    <w:link w:val="1"/>
    <w:qFormat/>
    <w:uiPriority w:val="0"/>
    <w:rPr>
      <w:rFonts w:cs="Times New Roman"/>
    </w:rPr>
  </w:style>
  <w:style w:type="paragraph" w:customStyle="1" w:styleId="287">
    <w:name w:val="二级条标题"/>
    <w:basedOn w:val="288"/>
    <w:next w:val="1"/>
    <w:qFormat/>
    <w:uiPriority w:val="0"/>
    <w:pPr>
      <w:numPr>
        <w:ilvl w:val="0"/>
        <w:numId w:val="0"/>
      </w:numPr>
      <w:tabs>
        <w:tab w:val="left" w:pos="360"/>
        <w:tab w:val="left" w:pos="840"/>
      </w:tabs>
      <w:ind w:hanging="840"/>
      <w:outlineLvl w:val="2"/>
    </w:pPr>
    <w:rPr>
      <w:rFonts w:ascii="宋体" w:eastAsia="宋体"/>
      <w:b w:val="0"/>
    </w:rPr>
  </w:style>
  <w:style w:type="paragraph" w:customStyle="1" w:styleId="288">
    <w:name w:val="一级条标题"/>
    <w:basedOn w:val="289"/>
    <w:next w:val="1"/>
    <w:qFormat/>
    <w:uiPriority w:val="0"/>
    <w:pPr>
      <w:numPr>
        <w:ilvl w:val="1"/>
      </w:numPr>
      <w:tabs>
        <w:tab w:val="left" w:pos="360"/>
        <w:tab w:val="left" w:pos="840"/>
      </w:tabs>
      <w:ind w:left="0" w:hanging="840"/>
      <w:outlineLvl w:val="1"/>
    </w:pPr>
  </w:style>
  <w:style w:type="paragraph" w:customStyle="1" w:styleId="289">
    <w:name w:val="章标题"/>
    <w:next w:val="1"/>
    <w:qFormat/>
    <w:uiPriority w:val="0"/>
    <w:pPr>
      <w:numPr>
        <w:ilvl w:val="0"/>
        <w:numId w:val="1"/>
      </w:numPr>
      <w:spacing w:before="156" w:after="156" w:line="460" w:lineRule="exact"/>
      <w:ind w:left="0"/>
      <w:jc w:val="both"/>
      <w:outlineLvl w:val="0"/>
    </w:pPr>
    <w:rPr>
      <w:rFonts w:hint="default" w:ascii="黑体" w:hAnsi="Times New Roman" w:eastAsia="黑体" w:cs="Times New Roman"/>
      <w:b/>
      <w:sz w:val="28"/>
      <w:lang w:val="en-US" w:eastAsia="zh-CN" w:bidi="ar-SA"/>
    </w:rPr>
  </w:style>
  <w:style w:type="paragraph" w:customStyle="1" w:styleId="290">
    <w:name w:val="font7"/>
    <w:basedOn w:val="1"/>
    <w:qFormat/>
    <w:uiPriority w:val="0"/>
    <w:pPr>
      <w:widowControl/>
      <w:spacing w:before="100" w:beforeAutospacing="1" w:after="100" w:afterAutospacing="1"/>
      <w:jc w:val="left"/>
    </w:pPr>
    <w:rPr>
      <w:rFonts w:eastAsia="Arial Unicode MS"/>
      <w:b/>
      <w:bCs/>
      <w:color w:val="000000"/>
      <w:sz w:val="20"/>
      <w:szCs w:val="20"/>
    </w:rPr>
  </w:style>
  <w:style w:type="paragraph" w:customStyle="1" w:styleId="291">
    <w:name w:val="字元 字元"/>
    <w:basedOn w:val="1"/>
    <w:qFormat/>
    <w:uiPriority w:val="0"/>
    <w:rPr>
      <w:rFonts w:ascii="Tahoma" w:hAnsi="Tahoma"/>
      <w:sz w:val="24"/>
      <w:szCs w:val="20"/>
    </w:rPr>
  </w:style>
  <w:style w:type="paragraph" w:customStyle="1" w:styleId="292">
    <w:name w:val="Char3 Char Char Char"/>
    <w:basedOn w:val="1"/>
    <w:qFormat/>
    <w:uiPriority w:val="0"/>
    <w:rPr>
      <w:rFonts w:ascii="Tahoma" w:hAnsi="Tahoma"/>
      <w:sz w:val="24"/>
      <w:szCs w:val="20"/>
    </w:rPr>
  </w:style>
  <w:style w:type="paragraph" w:customStyle="1" w:styleId="293">
    <w:name w:val="font6"/>
    <w:basedOn w:val="1"/>
    <w:qFormat/>
    <w:uiPriority w:val="0"/>
    <w:pPr>
      <w:widowControl/>
      <w:spacing w:before="100" w:beforeAutospacing="1" w:after="100" w:afterAutospacing="1"/>
      <w:jc w:val="left"/>
    </w:pPr>
    <w:rPr>
      <w:rFonts w:ascii="宋体" w:hAnsi="宋体" w:cs="宋体"/>
      <w:sz w:val="20"/>
      <w:szCs w:val="20"/>
    </w:rPr>
  </w:style>
  <w:style w:type="paragraph" w:customStyle="1" w:styleId="294">
    <w:name w:val="项目编号2"/>
    <w:basedOn w:val="295"/>
    <w:qFormat/>
    <w:uiPriority w:val="0"/>
    <w:pPr>
      <w:numPr>
        <w:numId w:val="2"/>
      </w:numPr>
    </w:pPr>
  </w:style>
  <w:style w:type="paragraph" w:customStyle="1" w:styleId="295">
    <w:name w:val="项目编号1"/>
    <w:basedOn w:val="1"/>
    <w:qFormat/>
    <w:uiPriority w:val="0"/>
    <w:pPr>
      <w:numPr>
        <w:ilvl w:val="0"/>
        <w:numId w:val="3"/>
      </w:numPr>
      <w:spacing w:before="100" w:beforeAutospacing="1" w:after="100" w:afterAutospacing="1" w:line="360" w:lineRule="auto"/>
    </w:pPr>
    <w:rPr>
      <w:sz w:val="24"/>
    </w:rPr>
  </w:style>
  <w:style w:type="paragraph" w:customStyle="1" w:styleId="296">
    <w:name w:val="图中文字"/>
    <w:basedOn w:val="1"/>
    <w:qFormat/>
    <w:uiPriority w:val="0"/>
    <w:pPr>
      <w:spacing w:line="0" w:lineRule="atLeast"/>
      <w:jc w:val="center"/>
    </w:pPr>
    <w:rPr>
      <w:sz w:val="24"/>
      <w:szCs w:val="20"/>
    </w:rPr>
  </w:style>
  <w:style w:type="paragraph" w:customStyle="1" w:styleId="297">
    <w:name w:val="xl46"/>
    <w:basedOn w:val="1"/>
    <w:qFormat/>
    <w:uiPriority w:val="0"/>
    <w:pPr>
      <w:widowControl/>
      <w:pBdr>
        <w:top w:val="single" w:color="000000" w:sz="4" w:space="0"/>
        <w:bottom w:val="single" w:color="000000" w:sz="4" w:space="0"/>
      </w:pBdr>
      <w:spacing w:before="100" w:beforeAutospacing="1" w:after="100" w:afterAutospacing="1"/>
      <w:jc w:val="left"/>
    </w:pPr>
    <w:rPr>
      <w:rFonts w:ascii="Arial Unicode MS" w:hAnsi="Arial Unicode MS" w:eastAsia="Arial Unicode MS" w:cs="Arial Unicode MS"/>
      <w:b/>
      <w:bCs/>
      <w:color w:val="000000"/>
      <w:sz w:val="20"/>
      <w:szCs w:val="20"/>
    </w:rPr>
  </w:style>
  <w:style w:type="paragraph" w:customStyle="1" w:styleId="298">
    <w:name w:val="xl25"/>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eastAsia="Arial Unicode MS" w:cs="Arial Unicode MS"/>
      <w:b/>
      <w:bCs/>
      <w:color w:val="000000"/>
      <w:sz w:val="20"/>
      <w:szCs w:val="20"/>
    </w:rPr>
  </w:style>
  <w:style w:type="paragraph" w:customStyle="1" w:styleId="299">
    <w:name w:val="Char2"/>
    <w:basedOn w:val="1"/>
    <w:qFormat/>
    <w:uiPriority w:val="0"/>
    <w:rPr>
      <w:rFonts w:ascii="Tahoma" w:hAnsi="Tahoma"/>
      <w:sz w:val="24"/>
      <w:szCs w:val="20"/>
    </w:rPr>
  </w:style>
  <w:style w:type="paragraph" w:customStyle="1" w:styleId="300">
    <w:name w:val="xl35"/>
    <w:basedOn w:val="1"/>
    <w:qFormat/>
    <w:uiPriority w:val="0"/>
    <w:pPr>
      <w:widowControl/>
      <w:spacing w:before="100" w:beforeAutospacing="1" w:after="100" w:afterAutospacing="1"/>
      <w:jc w:val="left"/>
    </w:pPr>
    <w:rPr>
      <w:rFonts w:ascii="Arial Unicode MS" w:hAnsi="Arial Unicode MS" w:eastAsia="Arial Unicode MS" w:cs="Arial Unicode MS"/>
      <w:color w:val="000000"/>
      <w:sz w:val="20"/>
      <w:szCs w:val="20"/>
    </w:rPr>
  </w:style>
  <w:style w:type="paragraph" w:customStyle="1" w:styleId="301">
    <w:name w:val="xl40"/>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eastAsia="Arial Unicode MS" w:cs="Arial Unicode MS"/>
      <w:color w:val="000000"/>
      <w:sz w:val="20"/>
      <w:szCs w:val="20"/>
    </w:rPr>
  </w:style>
  <w:style w:type="paragraph" w:customStyle="1" w:styleId="302">
    <w:name w:val="xl52"/>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pPr>
    <w:rPr>
      <w:rFonts w:ascii="Arial Unicode MS" w:hAnsi="Arial Unicode MS" w:eastAsia="Arial Unicode MS" w:cs="Arial Unicode MS"/>
      <w:b/>
      <w:bCs/>
      <w:color w:val="000000"/>
      <w:sz w:val="16"/>
      <w:szCs w:val="16"/>
    </w:rPr>
  </w:style>
  <w:style w:type="paragraph" w:customStyle="1" w:styleId="303">
    <w:name w:val="xl43"/>
    <w:basedOn w:val="1"/>
    <w:qFormat/>
    <w:uiPriority w:val="0"/>
    <w:pPr>
      <w:widowControl/>
      <w:pBdr>
        <w:top w:val="single" w:color="000000" w:sz="4" w:space="0"/>
        <w:left w:val="single" w:color="000000" w:sz="4" w:space="0"/>
        <w:bottom w:val="single" w:color="000000" w:sz="4" w:space="0"/>
      </w:pBdr>
      <w:spacing w:before="100" w:beforeAutospacing="1" w:after="100" w:afterAutospacing="1"/>
      <w:jc w:val="left"/>
    </w:pPr>
    <w:rPr>
      <w:rFonts w:ascii="Arial Unicode MS" w:hAnsi="Arial Unicode MS" w:eastAsia="Arial Unicode MS" w:cs="Arial Unicode MS"/>
      <w:color w:val="000000"/>
      <w:sz w:val="20"/>
      <w:szCs w:val="20"/>
    </w:rPr>
  </w:style>
  <w:style w:type="paragraph" w:customStyle="1" w:styleId="304">
    <w:name w:val="background1"/>
    <w:basedOn w:val="1"/>
    <w:qFormat/>
    <w:uiPriority w:val="0"/>
    <w:pPr>
      <w:widowControl/>
      <w:spacing w:before="100" w:beforeAutospacing="1" w:after="100" w:afterAutospacing="1"/>
      <w:jc w:val="left"/>
    </w:pPr>
    <w:rPr>
      <w:rFonts w:ascii="宋体" w:hAnsi="宋体" w:cs="宋体"/>
      <w:sz w:val="24"/>
    </w:rPr>
  </w:style>
  <w:style w:type="paragraph" w:customStyle="1" w:styleId="305">
    <w:name w:val="Char Char Char Char Char Char Char"/>
    <w:basedOn w:val="1"/>
    <w:qFormat/>
    <w:uiPriority w:val="0"/>
    <w:pPr>
      <w:spacing w:line="360" w:lineRule="auto"/>
      <w:ind w:firstLine="200"/>
    </w:pPr>
    <w:rPr>
      <w:rFonts w:eastAsia="仿宋_GB2312"/>
      <w:sz w:val="24"/>
    </w:rPr>
  </w:style>
  <w:style w:type="paragraph" w:customStyle="1" w:styleId="306">
    <w:name w:val="xl38"/>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eastAsia="Arial Unicode MS" w:cs="Arial Unicode MS"/>
      <w:color w:val="000000"/>
      <w:sz w:val="16"/>
      <w:szCs w:val="16"/>
    </w:rPr>
  </w:style>
  <w:style w:type="paragraph" w:customStyle="1" w:styleId="307">
    <w:name w:val="xl36"/>
    <w:basedOn w:val="1"/>
    <w:qFormat/>
    <w:uiPriority w:val="0"/>
    <w:pPr>
      <w:widowControl/>
      <w:spacing w:before="100" w:beforeAutospacing="1" w:after="100" w:afterAutospacing="1"/>
      <w:jc w:val="center"/>
    </w:pPr>
    <w:rPr>
      <w:rFonts w:ascii="Arial Unicode MS" w:hAnsi="Arial Unicode MS" w:eastAsia="Arial Unicode MS" w:cs="Arial Unicode MS"/>
      <w:color w:val="000000"/>
      <w:sz w:val="20"/>
      <w:szCs w:val="20"/>
    </w:rPr>
  </w:style>
  <w:style w:type="paragraph" w:customStyle="1" w:styleId="308">
    <w:name w:val="正文 + 宋体"/>
    <w:basedOn w:val="1"/>
    <w:qFormat/>
    <w:uiPriority w:val="0"/>
    <w:pPr>
      <w:widowControl/>
      <w:ind w:left="360" w:hanging="360"/>
      <w:jc w:val="left"/>
    </w:pPr>
    <w:rPr>
      <w:rFonts w:ascii="宋体" w:hAnsi="宋体" w:cs="宋体"/>
      <w:b/>
      <w:bCs/>
      <w:color w:val="000000"/>
      <w:sz w:val="18"/>
      <w:szCs w:val="18"/>
    </w:rPr>
  </w:style>
  <w:style w:type="paragraph" w:customStyle="1" w:styleId="309">
    <w:name w:val="正文列项_数字"/>
    <w:basedOn w:val="1"/>
    <w:qFormat/>
    <w:uiPriority w:val="0"/>
    <w:pPr>
      <w:numPr>
        <w:ilvl w:val="7"/>
        <w:numId w:val="1"/>
      </w:numPr>
      <w:tabs>
        <w:tab w:val="clear" w:pos="860"/>
      </w:tabs>
      <w:spacing w:line="460" w:lineRule="exact"/>
      <w:ind w:left="680" w:hanging="150"/>
      <w:outlineLvl w:val="7"/>
    </w:pPr>
    <w:rPr>
      <w:rFonts w:ascii="宋体"/>
      <w:sz w:val="28"/>
      <w:szCs w:val="20"/>
    </w:rPr>
  </w:style>
  <w:style w:type="paragraph" w:customStyle="1" w:styleId="310">
    <w:name w:val="xl39"/>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Arial Unicode MS" w:hAnsi="Arial Unicode MS" w:eastAsia="Arial Unicode MS" w:cs="Arial Unicode MS"/>
      <w:color w:val="000000"/>
      <w:sz w:val="20"/>
      <w:szCs w:val="20"/>
    </w:rPr>
  </w:style>
  <w:style w:type="paragraph" w:customStyle="1" w:styleId="311">
    <w:name w:val="xl37"/>
    <w:basedOn w:val="1"/>
    <w:qFormat/>
    <w:uiPriority w:val="0"/>
    <w:pPr>
      <w:widowControl/>
      <w:spacing w:before="100" w:beforeAutospacing="1" w:after="100" w:afterAutospacing="1"/>
      <w:jc w:val="left"/>
    </w:pPr>
    <w:rPr>
      <w:rFonts w:ascii="Arial Unicode MS" w:hAnsi="Arial Unicode MS" w:eastAsia="Arial Unicode MS" w:cs="Arial Unicode MS"/>
      <w:color w:val="000000"/>
      <w:sz w:val="20"/>
      <w:szCs w:val="20"/>
    </w:rPr>
  </w:style>
  <w:style w:type="paragraph" w:customStyle="1" w:styleId="312">
    <w:name w:val="xl32"/>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pPr>
    <w:rPr>
      <w:rFonts w:ascii="Arial Unicode MS" w:hAnsi="Arial Unicode MS" w:eastAsia="Arial Unicode MS" w:cs="Arial Unicode MS"/>
      <w:color w:val="000000"/>
      <w:sz w:val="20"/>
      <w:szCs w:val="20"/>
    </w:rPr>
  </w:style>
  <w:style w:type="paragraph" w:customStyle="1" w:styleId="313">
    <w:name w:val="font8"/>
    <w:basedOn w:val="1"/>
    <w:qFormat/>
    <w:uiPriority w:val="0"/>
    <w:pPr>
      <w:widowControl/>
      <w:spacing w:before="100" w:beforeAutospacing="1" w:after="100" w:afterAutospacing="1"/>
      <w:jc w:val="left"/>
    </w:pPr>
    <w:rPr>
      <w:sz w:val="36"/>
      <w:szCs w:val="36"/>
    </w:rPr>
  </w:style>
  <w:style w:type="paragraph" w:customStyle="1" w:styleId="314">
    <w:name w:val="Char"/>
    <w:basedOn w:val="1"/>
    <w:qFormat/>
    <w:uiPriority w:val="0"/>
    <w:pPr>
      <w:tabs>
        <w:tab w:val="left" w:pos="360"/>
      </w:tabs>
    </w:pPr>
    <w:rPr>
      <w:sz w:val="24"/>
    </w:rPr>
  </w:style>
  <w:style w:type="paragraph" w:customStyle="1" w:styleId="315">
    <w:name w:val="Char Char Char Char Char Char Char Char Char Char Char Char Char Char Char Char"/>
    <w:basedOn w:val="1"/>
    <w:qFormat/>
    <w:uiPriority w:val="0"/>
    <w:pPr>
      <w:widowControl/>
      <w:spacing w:after="160" w:line="240" w:lineRule="exact"/>
      <w:jc w:val="center"/>
    </w:pPr>
    <w:rPr>
      <w:rFonts w:ascii="宋体" w:hAnsi="宋体"/>
      <w:b/>
      <w:sz w:val="30"/>
      <w:szCs w:val="30"/>
      <w:lang w:eastAsia="en-US"/>
    </w:rPr>
  </w:style>
  <w:style w:type="paragraph" w:customStyle="1" w:styleId="316">
    <w:name w:val="xl45"/>
    <w:basedOn w:val="1"/>
    <w:qFormat/>
    <w:uiPriority w:val="0"/>
    <w:pPr>
      <w:widowControl/>
      <w:pBdr>
        <w:top w:val="single" w:color="000000" w:sz="4" w:space="0"/>
        <w:left w:val="single" w:color="000000" w:sz="4" w:space="0"/>
        <w:bottom w:val="single" w:color="000000" w:sz="4" w:space="0"/>
      </w:pBdr>
      <w:spacing w:before="100" w:beforeAutospacing="1" w:after="100" w:afterAutospacing="1"/>
      <w:jc w:val="left"/>
    </w:pPr>
    <w:rPr>
      <w:rFonts w:ascii="Arial Unicode MS" w:hAnsi="Arial Unicode MS" w:eastAsia="Arial Unicode MS" w:cs="Arial Unicode MS"/>
      <w:b/>
      <w:bCs/>
      <w:color w:val="000000"/>
      <w:sz w:val="20"/>
      <w:szCs w:val="20"/>
    </w:rPr>
  </w:style>
  <w:style w:type="paragraph" w:customStyle="1" w:styleId="317">
    <w:name w:val="Char Char1 Char Char Char Char Char Char"/>
    <w:basedOn w:val="1"/>
    <w:qFormat/>
    <w:uiPriority w:val="0"/>
    <w:pPr>
      <w:widowControl/>
      <w:spacing w:after="160" w:line="240" w:lineRule="exact"/>
      <w:jc w:val="left"/>
    </w:pPr>
    <w:rPr>
      <w:rFonts w:ascii="Verdana" w:hAnsi="Verdana" w:eastAsia="仿宋_GB2312"/>
      <w:sz w:val="24"/>
      <w:szCs w:val="20"/>
      <w:lang w:eastAsia="en-US"/>
    </w:rPr>
  </w:style>
  <w:style w:type="paragraph" w:customStyle="1" w:styleId="318">
    <w:name w:val="Char Char1"/>
    <w:basedOn w:val="210"/>
    <w:qFormat/>
    <w:uiPriority w:val="0"/>
    <w:rPr>
      <w:rFonts w:ascii="Tahoma" w:hAnsi="Tahoma"/>
      <w:sz w:val="24"/>
    </w:rPr>
  </w:style>
  <w:style w:type="paragraph" w:customStyle="1" w:styleId="319">
    <w:name w:val="xl26"/>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eastAsia="Arial Unicode MS"/>
      <w:color w:val="000000"/>
      <w:sz w:val="22"/>
      <w:szCs w:val="22"/>
    </w:rPr>
  </w:style>
  <w:style w:type="paragraph" w:customStyle="1" w:styleId="320">
    <w:name w:val="xl30"/>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eastAsia="Arial Unicode MS" w:cs="Arial Unicode MS"/>
      <w:color w:val="000000"/>
      <w:sz w:val="20"/>
      <w:szCs w:val="20"/>
    </w:rPr>
  </w:style>
  <w:style w:type="paragraph" w:customStyle="1" w:styleId="321">
    <w:name w:val="xl41"/>
    <w:basedOn w:val="1"/>
    <w:qFormat/>
    <w:uiPriority w:val="0"/>
    <w:pPr>
      <w:widowControl/>
      <w:pBdr>
        <w:top w:val="single" w:color="000000" w:sz="4" w:space="0"/>
        <w:left w:val="single" w:color="000000" w:sz="4" w:space="0"/>
        <w:bottom w:val="single" w:color="000000" w:sz="4" w:space="0"/>
      </w:pBdr>
      <w:spacing w:before="100" w:beforeAutospacing="1" w:after="100" w:afterAutospacing="1"/>
      <w:jc w:val="center"/>
    </w:pPr>
    <w:rPr>
      <w:rFonts w:ascii="Arial Unicode MS" w:hAnsi="Arial Unicode MS" w:eastAsia="Arial Unicode MS" w:cs="Arial Unicode MS"/>
      <w:color w:val="000000"/>
      <w:sz w:val="20"/>
      <w:szCs w:val="20"/>
    </w:rPr>
  </w:style>
  <w:style w:type="paragraph" w:customStyle="1" w:styleId="322">
    <w:name w:val="样式 宋体 五号 行距: 单倍行距"/>
    <w:basedOn w:val="1"/>
    <w:qFormat/>
    <w:uiPriority w:val="0"/>
    <w:pPr>
      <w:jc w:val="left"/>
    </w:pPr>
    <w:rPr>
      <w:rFonts w:ascii="宋体" w:hAnsi="宋体"/>
      <w:szCs w:val="20"/>
    </w:rPr>
  </w:style>
  <w:style w:type="paragraph" w:customStyle="1" w:styleId="323">
    <w:name w:val="Char1 Char Char Char1"/>
    <w:basedOn w:val="1"/>
    <w:qFormat/>
    <w:uiPriority w:val="0"/>
    <w:rPr>
      <w:rFonts w:ascii="Tahoma" w:hAnsi="Tahoma" w:cs="仿宋_GB2312"/>
      <w:sz w:val="24"/>
      <w:szCs w:val="28"/>
    </w:rPr>
  </w:style>
  <w:style w:type="paragraph" w:customStyle="1" w:styleId="324">
    <w:name w:val="四级条标题"/>
    <w:basedOn w:val="325"/>
    <w:next w:val="1"/>
    <w:qFormat/>
    <w:uiPriority w:val="0"/>
    <w:pPr>
      <w:numPr>
        <w:ilvl w:val="4"/>
      </w:numPr>
      <w:tabs>
        <w:tab w:val="left" w:pos="360"/>
        <w:tab w:val="left" w:pos="840"/>
      </w:tabs>
      <w:ind w:left="0" w:hanging="840"/>
      <w:outlineLvl w:val="4"/>
    </w:pPr>
  </w:style>
  <w:style w:type="paragraph" w:customStyle="1" w:styleId="325">
    <w:name w:val="三级条标题"/>
    <w:basedOn w:val="287"/>
    <w:next w:val="1"/>
    <w:qFormat/>
    <w:uiPriority w:val="0"/>
    <w:pPr>
      <w:numPr>
        <w:ilvl w:val="3"/>
        <w:numId w:val="1"/>
      </w:numPr>
      <w:ind w:left="0" w:hanging="840"/>
      <w:outlineLvl w:val="3"/>
    </w:pPr>
  </w:style>
  <w:style w:type="paragraph" w:customStyle="1" w:styleId="326">
    <w:name w:val="??"/>
    <w:qFormat/>
    <w:uiPriority w:val="0"/>
    <w:pPr>
      <w:widowControl w:val="0"/>
      <w:jc w:val="both"/>
    </w:pPr>
    <w:rPr>
      <w:rFonts w:hint="default" w:ascii="Times New Roman" w:hAnsi="Times New Roman" w:eastAsia="宋体" w:cs="Times New Roman"/>
      <w:sz w:val="21"/>
      <w:lang w:val="en-US" w:eastAsia="en-US" w:bidi="ar-SA"/>
    </w:rPr>
  </w:style>
  <w:style w:type="paragraph" w:customStyle="1" w:styleId="327">
    <w:name w:val="样式 标题 2 + 宋体 五号 行距: 单倍行距"/>
    <w:basedOn w:val="185"/>
    <w:qFormat/>
    <w:uiPriority w:val="0"/>
    <w:pPr>
      <w:numPr>
        <w:ilvl w:val="1"/>
        <w:numId w:val="4"/>
      </w:numPr>
      <w:spacing w:before="260" w:after="260" w:line="240" w:lineRule="auto"/>
      <w:jc w:val="left"/>
    </w:pPr>
    <w:rPr>
      <w:rFonts w:ascii="宋体" w:hAnsi="宋体" w:eastAsia="宋体"/>
      <w:bCs/>
      <w:sz w:val="21"/>
    </w:rPr>
  </w:style>
  <w:style w:type="paragraph" w:customStyle="1" w:styleId="328">
    <w:name w:val="List Paragraph1"/>
    <w:basedOn w:val="1"/>
    <w:qFormat/>
    <w:uiPriority w:val="0"/>
    <w:pPr>
      <w:ind w:firstLine="420"/>
    </w:pPr>
    <w:rPr>
      <w:rFonts w:ascii="Calibri" w:hAnsi="Calibri"/>
      <w:szCs w:val="22"/>
    </w:rPr>
  </w:style>
  <w:style w:type="paragraph" w:customStyle="1" w:styleId="329">
    <w:name w:val="项目符号1"/>
    <w:basedOn w:val="330"/>
    <w:qFormat/>
    <w:uiPriority w:val="0"/>
    <w:pPr>
      <w:ind w:left="-25" w:firstLine="0"/>
    </w:pPr>
  </w:style>
  <w:style w:type="paragraph" w:customStyle="1" w:styleId="330">
    <w:name w:val="正文文本样式"/>
    <w:basedOn w:val="1"/>
    <w:qFormat/>
    <w:uiPriority w:val="0"/>
    <w:pPr>
      <w:spacing w:line="360" w:lineRule="auto"/>
      <w:ind w:firstLine="482"/>
    </w:pPr>
    <w:rPr>
      <w:rFonts w:cs="宋体"/>
      <w:sz w:val="24"/>
      <w:szCs w:val="20"/>
    </w:rPr>
  </w:style>
  <w:style w:type="paragraph" w:customStyle="1" w:styleId="331">
    <w:name w:val="xl27"/>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eastAsia="Arial Unicode MS"/>
      <w:color w:val="000000"/>
      <w:sz w:val="20"/>
      <w:szCs w:val="20"/>
    </w:rPr>
  </w:style>
  <w:style w:type="paragraph" w:customStyle="1" w:styleId="332">
    <w:name w:val="font5"/>
    <w:basedOn w:val="1"/>
    <w:qFormat/>
    <w:uiPriority w:val="0"/>
    <w:pPr>
      <w:widowControl/>
      <w:spacing w:before="100" w:beforeAutospacing="1" w:after="100" w:afterAutospacing="1"/>
      <w:jc w:val="left"/>
    </w:pPr>
    <w:rPr>
      <w:rFonts w:ascii="宋体" w:hAnsi="宋体" w:cs="宋体"/>
      <w:sz w:val="18"/>
      <w:szCs w:val="18"/>
    </w:rPr>
  </w:style>
  <w:style w:type="paragraph" w:customStyle="1" w:styleId="333">
    <w:name w:val="五级条标题"/>
    <w:basedOn w:val="324"/>
    <w:next w:val="1"/>
    <w:qFormat/>
    <w:uiPriority w:val="0"/>
    <w:pPr>
      <w:numPr>
        <w:ilvl w:val="5"/>
      </w:numPr>
      <w:ind w:left="0" w:hanging="840"/>
      <w:outlineLvl w:val="5"/>
    </w:pPr>
  </w:style>
  <w:style w:type="paragraph" w:customStyle="1" w:styleId="334">
    <w:name w:val="xl49"/>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eastAsia="Arial Unicode MS" w:cs="Arial Unicode MS"/>
      <w:color w:val="000000"/>
      <w:sz w:val="22"/>
      <w:szCs w:val="22"/>
    </w:rPr>
  </w:style>
  <w:style w:type="paragraph" w:customStyle="1" w:styleId="335">
    <w:name w:val="文档正文"/>
    <w:basedOn w:val="1"/>
    <w:qFormat/>
    <w:uiPriority w:val="0"/>
    <w:pPr>
      <w:spacing w:before="120" w:after="120" w:line="180" w:lineRule="auto"/>
    </w:pPr>
    <w:rPr>
      <w:rFonts w:ascii="Arial" w:hAnsi="Arial"/>
      <w:szCs w:val="20"/>
    </w:rPr>
  </w:style>
  <w:style w:type="paragraph" w:customStyle="1" w:styleId="336">
    <w:name w:val="xl33"/>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eastAsia="Arial Unicode MS"/>
      <w:color w:val="000000"/>
      <w:sz w:val="20"/>
      <w:szCs w:val="20"/>
    </w:rPr>
  </w:style>
  <w:style w:type="paragraph" w:customStyle="1" w:styleId="337">
    <w:name w:val="xl42"/>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eastAsia="Arial Unicode MS"/>
      <w:b/>
      <w:bCs/>
      <w:color w:val="000000"/>
      <w:sz w:val="20"/>
      <w:szCs w:val="20"/>
    </w:rPr>
  </w:style>
  <w:style w:type="paragraph" w:customStyle="1" w:styleId="338">
    <w:name w:val="Char Char Char1 Char"/>
    <w:basedOn w:val="1"/>
    <w:qFormat/>
    <w:uiPriority w:val="0"/>
    <w:rPr>
      <w:rFonts w:ascii="Tahoma" w:hAnsi="Tahoma"/>
      <w:sz w:val="24"/>
      <w:szCs w:val="20"/>
    </w:rPr>
  </w:style>
  <w:style w:type="paragraph" w:customStyle="1" w:styleId="339">
    <w:name w:val="xl44"/>
    <w:basedOn w:val="1"/>
    <w:qFormat/>
    <w:uiPriority w:val="0"/>
    <w:pPr>
      <w:widowControl/>
      <w:pBdr>
        <w:top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eastAsia="Arial Unicode MS" w:cs="Arial Unicode MS"/>
      <w:sz w:val="24"/>
    </w:rPr>
  </w:style>
  <w:style w:type="paragraph" w:customStyle="1" w:styleId="340">
    <w:name w:val="1名"/>
    <w:basedOn w:val="1"/>
    <w:qFormat/>
    <w:uiPriority w:val="0"/>
    <w:pPr>
      <w:numPr>
        <w:ilvl w:val="0"/>
        <w:numId w:val="5"/>
      </w:numPr>
      <w:spacing w:before="120"/>
    </w:pPr>
    <w:rPr>
      <w:rFonts w:ascii="宋体"/>
      <w:sz w:val="28"/>
      <w:szCs w:val="20"/>
    </w:rPr>
  </w:style>
  <w:style w:type="paragraph" w:customStyle="1" w:styleId="341">
    <w:name w:val="font9"/>
    <w:basedOn w:val="1"/>
    <w:qFormat/>
    <w:uiPriority w:val="0"/>
    <w:pPr>
      <w:widowControl/>
      <w:spacing w:before="100" w:beforeAutospacing="1" w:after="100" w:afterAutospacing="1"/>
      <w:jc w:val="left"/>
    </w:pPr>
    <w:rPr>
      <w:rFonts w:hint="eastAsia" w:ascii="宋体" w:hAnsi="宋体" w:cs="Arial Unicode MS"/>
      <w:color w:val="000000"/>
      <w:sz w:val="20"/>
      <w:szCs w:val="20"/>
    </w:rPr>
  </w:style>
  <w:style w:type="paragraph" w:customStyle="1" w:styleId="342">
    <w:name w:val="Char Char Char1 Char1"/>
    <w:basedOn w:val="1"/>
    <w:qFormat/>
    <w:uiPriority w:val="0"/>
    <w:rPr>
      <w:rFonts w:ascii="Tahoma" w:hAnsi="Tahoma"/>
      <w:sz w:val="24"/>
      <w:szCs w:val="20"/>
    </w:rPr>
  </w:style>
  <w:style w:type="paragraph" w:customStyle="1" w:styleId="343">
    <w:name w:val="Char Char Char Char Char Char Char Char Char Char"/>
    <w:basedOn w:val="1"/>
    <w:qFormat/>
    <w:uiPriority w:val="0"/>
  </w:style>
  <w:style w:type="paragraph" w:customStyle="1" w:styleId="344">
    <w:name w:val="Char Char1 Char Char Char Char Char Char Char Char"/>
    <w:basedOn w:val="1"/>
    <w:qFormat/>
    <w:uiPriority w:val="0"/>
    <w:pPr>
      <w:widowControl/>
      <w:spacing w:after="160" w:line="240" w:lineRule="exact"/>
      <w:jc w:val="left"/>
    </w:pPr>
    <w:rPr>
      <w:rFonts w:ascii="Verdana" w:hAnsi="Verdana"/>
      <w:sz w:val="20"/>
      <w:szCs w:val="20"/>
      <w:lang w:eastAsia="en-US"/>
    </w:rPr>
  </w:style>
  <w:style w:type="paragraph" w:customStyle="1" w:styleId="345">
    <w:name w:val="Char1"/>
    <w:basedOn w:val="1"/>
    <w:qFormat/>
    <w:uiPriority w:val="0"/>
    <w:pPr>
      <w:tabs>
        <w:tab w:val="left" w:pos="360"/>
      </w:tabs>
    </w:pPr>
    <w:rPr>
      <w:sz w:val="24"/>
    </w:rPr>
  </w:style>
  <w:style w:type="paragraph" w:customStyle="1" w:styleId="346">
    <w:name w:val="正文列项_字母"/>
    <w:basedOn w:val="1"/>
    <w:qFormat/>
    <w:uiPriority w:val="0"/>
    <w:pPr>
      <w:numPr>
        <w:ilvl w:val="6"/>
        <w:numId w:val="1"/>
      </w:numPr>
      <w:tabs>
        <w:tab w:val="clear" w:pos="635"/>
      </w:tabs>
      <w:spacing w:line="460" w:lineRule="exact"/>
      <w:ind w:left="480" w:hanging="180"/>
      <w:outlineLvl w:val="6"/>
    </w:pPr>
    <w:rPr>
      <w:rFonts w:ascii="宋体"/>
      <w:sz w:val="28"/>
      <w:szCs w:val="20"/>
    </w:rPr>
  </w:style>
  <w:style w:type="paragraph" w:customStyle="1" w:styleId="347">
    <w:name w:val="xl28"/>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Arial Unicode MS" w:hAnsi="Arial Unicode MS" w:eastAsia="Arial Unicode MS" w:cs="Arial Unicode MS"/>
      <w:color w:val="000000"/>
      <w:sz w:val="20"/>
      <w:szCs w:val="20"/>
    </w:rPr>
  </w:style>
  <w:style w:type="paragraph" w:customStyle="1" w:styleId="348">
    <w:name w:val="xl47"/>
    <w:basedOn w:val="1"/>
    <w:qFormat/>
    <w:uiPriority w:val="0"/>
    <w:pPr>
      <w:widowControl/>
      <w:pBdr>
        <w:top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eastAsia="Arial Unicode MS" w:cs="Arial Unicode MS"/>
      <w:b/>
      <w:bCs/>
      <w:color w:val="000000"/>
      <w:sz w:val="20"/>
      <w:szCs w:val="20"/>
    </w:rPr>
  </w:style>
  <w:style w:type="paragraph" w:customStyle="1" w:styleId="349">
    <w:name w:val="默认段落字体 Para Char Char Char Char"/>
    <w:basedOn w:val="1"/>
    <w:qFormat/>
    <w:uiPriority w:val="0"/>
    <w:rPr>
      <w:rFonts w:ascii="Arial" w:hAnsi="Arial" w:cs="Arial"/>
      <w:szCs w:val="21"/>
    </w:rPr>
  </w:style>
  <w:style w:type="paragraph" w:customStyle="1" w:styleId="350">
    <w:name w:val="xl48"/>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Arial Unicode MS" w:hAnsi="Arial Unicode MS" w:eastAsia="Arial Unicode MS" w:cs="Arial Unicode MS"/>
      <w:b/>
      <w:bCs/>
      <w:color w:val="000000"/>
      <w:sz w:val="22"/>
      <w:szCs w:val="22"/>
    </w:rPr>
  </w:style>
  <w:style w:type="paragraph" w:customStyle="1" w:styleId="351">
    <w:name w:val="xl31"/>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pPr>
    <w:rPr>
      <w:rFonts w:eastAsia="Arial Unicode MS"/>
      <w:color w:val="000000"/>
      <w:sz w:val="20"/>
      <w:szCs w:val="20"/>
    </w:rPr>
  </w:style>
  <w:style w:type="paragraph" w:customStyle="1" w:styleId="352">
    <w:name w:val="xl53"/>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Arial Unicode MS" w:hAnsi="Arial Unicode MS" w:eastAsia="Arial Unicode MS" w:cs="Arial Unicode MS"/>
      <w:b/>
      <w:bCs/>
      <w:color w:val="000000"/>
      <w:sz w:val="20"/>
      <w:szCs w:val="20"/>
    </w:rPr>
  </w:style>
  <w:style w:type="paragraph" w:customStyle="1" w:styleId="353">
    <w:name w:val="Char Char Char"/>
    <w:basedOn w:val="1"/>
    <w:qFormat/>
    <w:uiPriority w:val="0"/>
    <w:rPr>
      <w:rFonts w:ascii="Tahoma" w:hAnsi="Tahoma"/>
      <w:sz w:val="24"/>
      <w:szCs w:val="20"/>
    </w:rPr>
  </w:style>
  <w:style w:type="paragraph" w:customStyle="1" w:styleId="354">
    <w:name w:val="xl50"/>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rFonts w:ascii="Arial Unicode MS" w:hAnsi="Arial Unicode MS" w:eastAsia="Arial Unicode MS" w:cs="Arial Unicode MS"/>
      <w:b/>
      <w:bCs/>
      <w:color w:val="000000"/>
      <w:sz w:val="32"/>
      <w:szCs w:val="32"/>
    </w:rPr>
  </w:style>
  <w:style w:type="paragraph" w:customStyle="1" w:styleId="355">
    <w:name w:val="缺省文本"/>
    <w:basedOn w:val="1"/>
    <w:qFormat/>
    <w:uiPriority w:val="0"/>
    <w:pPr>
      <w:jc w:val="left"/>
    </w:pPr>
    <w:rPr>
      <w:sz w:val="24"/>
    </w:rPr>
  </w:style>
  <w:style w:type="paragraph" w:customStyle="1" w:styleId="356">
    <w:name w:val="Char Char Char1"/>
    <w:basedOn w:val="1"/>
    <w:qFormat/>
    <w:uiPriority w:val="0"/>
    <w:rPr>
      <w:rFonts w:ascii="Tahoma" w:hAnsi="Tahoma"/>
      <w:sz w:val="24"/>
      <w:szCs w:val="20"/>
    </w:rPr>
  </w:style>
  <w:style w:type="paragraph" w:customStyle="1" w:styleId="357">
    <w:name w:val="Char Char Char Char Char Char Char1"/>
    <w:basedOn w:val="1"/>
    <w:qFormat/>
    <w:uiPriority w:val="0"/>
    <w:pPr>
      <w:spacing w:line="360" w:lineRule="auto"/>
      <w:ind w:firstLine="200"/>
    </w:pPr>
    <w:rPr>
      <w:rFonts w:eastAsia="仿宋_GB2312"/>
      <w:sz w:val="24"/>
    </w:rPr>
  </w:style>
  <w:style w:type="paragraph" w:customStyle="1" w:styleId="358">
    <w:name w:val="xl51"/>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pPr>
    <w:rPr>
      <w:rFonts w:ascii="Arial Unicode MS" w:hAnsi="Arial Unicode MS" w:eastAsia="Arial Unicode MS" w:cs="Arial Unicode MS"/>
      <w:b/>
      <w:bCs/>
      <w:color w:val="000000"/>
      <w:sz w:val="20"/>
      <w:szCs w:val="20"/>
    </w:rPr>
  </w:style>
  <w:style w:type="paragraph" w:customStyle="1" w:styleId="359">
    <w:name w:val="样式2"/>
    <w:basedOn w:val="247"/>
    <w:qFormat/>
    <w:uiPriority w:val="0"/>
    <w:pPr>
      <w:spacing w:line="360" w:lineRule="auto"/>
      <w:jc w:val="center"/>
    </w:pPr>
    <w:rPr>
      <w:sz w:val="24"/>
    </w:rPr>
  </w:style>
  <w:style w:type="paragraph" w:customStyle="1" w:styleId="360">
    <w:name w:val="xl24"/>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Arial Unicode MS" w:hAnsi="Arial Unicode MS" w:eastAsia="Arial Unicode MS" w:cs="Arial Unicode MS"/>
      <w:b/>
      <w:bCs/>
      <w:color w:val="000000"/>
      <w:sz w:val="20"/>
      <w:szCs w:val="20"/>
    </w:rPr>
  </w:style>
  <w:style w:type="paragraph" w:customStyle="1" w:styleId="361">
    <w:name w:val="xl29"/>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sz w:val="20"/>
      <w:szCs w:val="20"/>
    </w:rPr>
  </w:style>
  <w:style w:type="paragraph" w:customStyle="1" w:styleId="362">
    <w:name w:val="正文 + 楷体_GB2312"/>
    <w:basedOn w:val="1"/>
    <w:qFormat/>
    <w:uiPriority w:val="0"/>
    <w:pPr>
      <w:widowControl/>
      <w:jc w:val="left"/>
    </w:pPr>
    <w:rPr>
      <w:rFonts w:ascii="楷体_GB2312" w:eastAsia="楷体_GB2312" w:cs="Arial"/>
      <w:sz w:val="24"/>
    </w:rPr>
  </w:style>
  <w:style w:type="paragraph" w:customStyle="1" w:styleId="363">
    <w:name w:val="xl34"/>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pPr>
    <w:rPr>
      <w:color w:val="FF6600"/>
      <w:sz w:val="20"/>
      <w:szCs w:val="20"/>
    </w:rPr>
  </w:style>
  <w:style w:type="paragraph" w:customStyle="1" w:styleId="364">
    <w:name w:val="1 Char Char Char Char"/>
    <w:basedOn w:val="1"/>
    <w:qFormat/>
    <w:uiPriority w:val="0"/>
    <w:rPr>
      <w:rFonts w:ascii="Tahoma" w:hAnsi="Tahoma"/>
      <w:sz w:val="24"/>
      <w:szCs w:val="20"/>
    </w:rPr>
  </w:style>
  <w:style w:type="paragraph" w:customStyle="1" w:styleId="365">
    <w:name w:val="Default"/>
    <w:qFormat/>
    <w:uiPriority w:val="0"/>
    <w:pPr>
      <w:widowControl w:val="0"/>
    </w:pPr>
    <w:rPr>
      <w:rFonts w:hint="default" w:ascii="Symbol" w:hAnsi="Symbol" w:eastAsia="宋体" w:cs="Symbol"/>
      <w:color w:val="000000"/>
      <w:sz w:val="24"/>
      <w:szCs w:val="24"/>
      <w:lang w:val="en-US" w:eastAsia="zh-CN" w:bidi="ar-SA"/>
    </w:rPr>
  </w:style>
  <w:style w:type="paragraph" w:customStyle="1" w:styleId="366">
    <w:name w:val="列出段落1"/>
    <w:basedOn w:val="1"/>
    <w:qFormat/>
    <w:uiPriority w:val="0"/>
    <w:pPr>
      <w:ind w:firstLine="420"/>
    </w:pPr>
    <w:rPr>
      <w:rFonts w:ascii="Calibri" w:hAnsi="Calibri"/>
      <w:szCs w:val="22"/>
    </w:rPr>
  </w:style>
  <w:style w:type="paragraph" w:customStyle="1" w:styleId="367">
    <w:name w:val="default"/>
    <w:basedOn w:val="1"/>
    <w:qFormat/>
    <w:uiPriority w:val="0"/>
    <w:pPr>
      <w:widowControl/>
      <w:spacing w:before="100" w:beforeAutospacing="1" w:after="100" w:afterAutospacing="1"/>
      <w:jc w:val="left"/>
    </w:pPr>
    <w:rPr>
      <w:rFonts w:ascii="宋体" w:hAnsi="宋体" w:cs="宋体"/>
      <w:sz w:val="24"/>
    </w:rPr>
  </w:style>
  <w:style w:type="paragraph" w:customStyle="1" w:styleId="368">
    <w:name w:val="字元 字元1"/>
    <w:basedOn w:val="1"/>
    <w:qFormat/>
    <w:uiPriority w:val="0"/>
    <w:rPr>
      <w:rFonts w:ascii="Tahoma" w:hAnsi="Tahoma"/>
      <w:sz w:val="24"/>
      <w:szCs w:val="20"/>
    </w:rPr>
  </w:style>
  <w:style w:type="paragraph" w:customStyle="1" w:styleId="369">
    <w:name w:val="_Style 160"/>
    <w:qFormat/>
    <w:uiPriority w:val="0"/>
    <w:rPr>
      <w:rFonts w:hint="default" w:ascii="Times New Roman" w:hAnsi="Times New Roman" w:eastAsia="宋体" w:cs="Times New Roman"/>
      <w:sz w:val="21"/>
      <w:szCs w:val="24"/>
      <w:lang w:val="en-US" w:eastAsia="zh-CN" w:bidi="ar-SA"/>
    </w:rPr>
  </w:style>
  <w:style w:type="paragraph" w:customStyle="1" w:styleId="370">
    <w:name w:val="项目编号3"/>
    <w:basedOn w:val="330"/>
    <w:qFormat/>
    <w:uiPriority w:val="0"/>
    <w:pPr>
      <w:numPr>
        <w:ilvl w:val="0"/>
        <w:numId w:val="6"/>
      </w:numPr>
    </w:pPr>
  </w:style>
  <w:style w:type="paragraph" w:customStyle="1" w:styleId="371">
    <w:name w:val="Char21"/>
    <w:basedOn w:val="1"/>
    <w:qFormat/>
    <w:uiPriority w:val="0"/>
    <w:rPr>
      <w:rFonts w:ascii="Tahoma" w:hAnsi="Tahoma"/>
      <w:sz w:val="24"/>
      <w:szCs w:val="20"/>
    </w:rPr>
  </w:style>
  <w:style w:type="paragraph" w:customStyle="1" w:styleId="372">
    <w:name w:val="表格文字"/>
    <w:basedOn w:val="218"/>
    <w:qFormat/>
    <w:uiPriority w:val="0"/>
    <w:pPr>
      <w:spacing w:before="20" w:after="20" w:line="240" w:lineRule="auto"/>
      <w:ind w:firstLine="0"/>
    </w:pPr>
    <w:rPr>
      <w:rFonts w:ascii="Century Gothic" w:hAnsi="Century Gothic"/>
      <w:sz w:val="20"/>
      <w:szCs w:val="20"/>
    </w:rPr>
  </w:style>
  <w:style w:type="paragraph" w:customStyle="1" w:styleId="373">
    <w:name w:val="Char Char Char Char Char Char Char Char Char Char1"/>
    <w:basedOn w:val="1"/>
    <w:qFormat/>
    <w:uiPriority w:val="0"/>
    <w:rPr>
      <w:rFonts w:ascii="宋体" w:hAnsi="宋体" w:cs="Courier New"/>
      <w:sz w:val="32"/>
      <w:szCs w:val="32"/>
    </w:rPr>
  </w:style>
  <w:style w:type="paragraph" w:customStyle="1" w:styleId="374">
    <w:name w:val="正文文本样式 加粗"/>
    <w:basedOn w:val="330"/>
    <w:qFormat/>
    <w:uiPriority w:val="0"/>
    <w:rPr>
      <w:b/>
    </w:rPr>
  </w:style>
  <w:style w:type="paragraph" w:customStyle="1" w:styleId="375">
    <w:name w:val="Char2 Char Char Char Char Char Char"/>
    <w:basedOn w:val="1"/>
    <w:qFormat/>
    <w:uiPriority w:val="0"/>
    <w:pPr>
      <w:widowControl/>
      <w:spacing w:line="400" w:lineRule="exact"/>
      <w:jc w:val="center"/>
    </w:pPr>
  </w:style>
  <w:style w:type="paragraph" w:customStyle="1" w:styleId="376">
    <w:name w:val="Char Char4"/>
    <w:basedOn w:val="1"/>
    <w:qFormat/>
    <w:uiPriority w:val="0"/>
    <w:pPr>
      <w:widowControl/>
      <w:spacing w:line="400" w:lineRule="exact"/>
      <w:jc w:val="center"/>
    </w:pPr>
  </w:style>
  <w:style w:type="paragraph" w:customStyle="1" w:styleId="377">
    <w:name w:val="Char3 Char Char Char1"/>
    <w:basedOn w:val="1"/>
    <w:qFormat/>
    <w:uiPriority w:val="0"/>
    <w:rPr>
      <w:rFonts w:ascii="Tahoma" w:hAnsi="Tahoma"/>
      <w:sz w:val="24"/>
      <w:szCs w:val="20"/>
    </w:rPr>
  </w:style>
  <w:style w:type="paragraph" w:customStyle="1" w:styleId="378">
    <w:name w:val="无间隔"/>
    <w:qFormat/>
    <w:uiPriority w:val="0"/>
    <w:pPr>
      <w:widowControl w:val="0"/>
      <w:jc w:val="both"/>
    </w:pPr>
    <w:rPr>
      <w:rFonts w:hint="default" w:ascii="Times New Roman" w:hAnsi="Times New Roman" w:eastAsia="宋体" w:cs="Times New Roman"/>
      <w:sz w:val="21"/>
      <w:szCs w:val="24"/>
      <w:lang w:val="en-US" w:eastAsia="zh-CN" w:bidi="ar-SA"/>
    </w:rPr>
  </w:style>
  <w:style w:type="paragraph" w:customStyle="1" w:styleId="379">
    <w:name w:val="22222222222222"/>
    <w:basedOn w:val="1"/>
    <w:qFormat/>
    <w:uiPriority w:val="0"/>
    <w:pPr>
      <w:widowControl/>
      <w:spacing w:line="360" w:lineRule="auto"/>
      <w:ind w:firstLine="480"/>
      <w:jc w:val="left"/>
    </w:pPr>
    <w:rPr>
      <w:color w:val="FF0000"/>
      <w:sz w:val="24"/>
      <w:szCs w:val="20"/>
    </w:rPr>
  </w:style>
  <w:style w:type="character" w:customStyle="1" w:styleId="380">
    <w:name w:val="中等深浅网格 1 - 强调文字颜色 2 Char"/>
    <w:link w:val="381"/>
    <w:qFormat/>
    <w:uiPriority w:val="0"/>
    <w:rPr>
      <w:sz w:val="21"/>
      <w:szCs w:val="24"/>
      <w:lang w:val="zh-CN" w:eastAsia="zh-CN" w:bidi="ar-SA"/>
    </w:rPr>
  </w:style>
  <w:style w:type="paragraph" w:customStyle="1" w:styleId="381">
    <w:name w:val="1"/>
    <w:link w:val="380"/>
    <w:qFormat/>
    <w:uiPriority w:val="0"/>
    <w:rPr>
      <w:rFonts w:hint="default" w:ascii="Times New Roman" w:hAnsi="Times New Roman" w:eastAsia="宋体" w:cs="Times New Roman"/>
      <w:sz w:val="21"/>
      <w:szCs w:val="24"/>
      <w:lang w:val="zh-CN" w:eastAsia="zh-CN" w:bidi="ar-SA"/>
    </w:rPr>
  </w:style>
  <w:style w:type="paragraph" w:customStyle="1" w:styleId="382">
    <w:name w:val="图文"/>
    <w:basedOn w:val="1"/>
    <w:qFormat/>
    <w:uiPriority w:val="0"/>
    <w:pPr>
      <w:spacing w:after="50" w:line="360" w:lineRule="auto"/>
    </w:pPr>
    <w:rPr>
      <w:sz w:val="24"/>
    </w:rPr>
  </w:style>
  <w:style w:type="paragraph" w:customStyle="1" w:styleId="383">
    <w:name w:val="xl23"/>
    <w:basedOn w:val="1"/>
    <w:qFormat/>
    <w:uiPriority w:val="0"/>
    <w:pPr>
      <w:widowControl/>
      <w:spacing w:before="100" w:beforeAutospacing="1" w:after="100" w:afterAutospacing="1" w:line="360" w:lineRule="auto"/>
    </w:pPr>
    <w:rPr>
      <w:sz w:val="24"/>
      <w:szCs w:val="20"/>
    </w:rPr>
  </w:style>
  <w:style w:type="paragraph" w:customStyle="1" w:styleId="384">
    <w:name w:val="正文表格"/>
    <w:basedOn w:val="1"/>
    <w:link w:val="385"/>
    <w:qFormat/>
    <w:uiPriority w:val="0"/>
    <w:pPr>
      <w:jc w:val="left"/>
    </w:pPr>
    <w:rPr>
      <w:rFonts w:ascii="宋体" w:hAnsi="宋体"/>
      <w:color w:val="000000"/>
      <w:szCs w:val="21"/>
    </w:rPr>
  </w:style>
  <w:style w:type="character" w:customStyle="1" w:styleId="385">
    <w:name w:val="正文表格 Char"/>
    <w:link w:val="384"/>
    <w:qFormat/>
    <w:uiPriority w:val="0"/>
    <w:rPr>
      <w:rFonts w:ascii="宋体" w:hAnsi="宋体"/>
      <w:color w:val="000000"/>
      <w:sz w:val="21"/>
      <w:szCs w:val="21"/>
    </w:rPr>
  </w:style>
  <w:style w:type="paragraph" w:customStyle="1" w:styleId="386">
    <w:name w:val="正文重点"/>
    <w:basedOn w:val="1"/>
    <w:link w:val="387"/>
    <w:qFormat/>
    <w:uiPriority w:val="0"/>
    <w:pPr>
      <w:spacing w:line="360" w:lineRule="auto"/>
      <w:ind w:firstLine="482"/>
      <w:jc w:val="left"/>
    </w:pPr>
    <w:rPr>
      <w:b/>
      <w:sz w:val="24"/>
      <w:szCs w:val="20"/>
    </w:rPr>
  </w:style>
  <w:style w:type="character" w:customStyle="1" w:styleId="387">
    <w:name w:val="正文重点 Char"/>
    <w:link w:val="386"/>
    <w:qFormat/>
    <w:uiPriority w:val="0"/>
    <w:rPr>
      <w:b/>
      <w:sz w:val="24"/>
    </w:rPr>
  </w:style>
  <w:style w:type="paragraph" w:customStyle="1" w:styleId="388">
    <w:name w:val="标题1-附件"/>
    <w:basedOn w:val="184"/>
    <w:qFormat/>
    <w:uiPriority w:val="0"/>
    <w:pPr>
      <w:jc w:val="left"/>
    </w:pPr>
    <w:rPr>
      <w:sz w:val="24"/>
      <w:szCs w:val="24"/>
    </w:rPr>
  </w:style>
  <w:style w:type="paragraph" w:customStyle="1" w:styleId="389">
    <w:name w:val="正文小标题"/>
    <w:basedOn w:val="1"/>
    <w:next w:val="186"/>
    <w:link w:val="390"/>
    <w:qFormat/>
    <w:uiPriority w:val="0"/>
    <w:pPr>
      <w:spacing w:before="312" w:after="312"/>
      <w:ind w:firstLine="482"/>
      <w:jc w:val="left"/>
    </w:pPr>
    <w:rPr>
      <w:rFonts w:ascii="宋体" w:hAnsi="宋体"/>
      <w:b/>
      <w:i/>
      <w:color w:val="FF0000"/>
      <w:sz w:val="24"/>
      <w:szCs w:val="20"/>
    </w:rPr>
  </w:style>
  <w:style w:type="character" w:customStyle="1" w:styleId="390">
    <w:name w:val="正文小标题 Char"/>
    <w:link w:val="389"/>
    <w:qFormat/>
    <w:uiPriority w:val="0"/>
    <w:rPr>
      <w:rFonts w:ascii="宋体" w:hAnsi="宋体"/>
      <w:b/>
      <w:i/>
      <w:color w:val="FF0000"/>
      <w:sz w:val="24"/>
    </w:rPr>
  </w:style>
  <w:style w:type="paragraph" w:customStyle="1" w:styleId="391">
    <w:name w:val="正文大标题"/>
    <w:basedOn w:val="389"/>
    <w:next w:val="186"/>
    <w:link w:val="392"/>
    <w:qFormat/>
    <w:uiPriority w:val="0"/>
    <w:pPr>
      <w:jc w:val="center"/>
    </w:pPr>
    <w:rPr>
      <w:i w:val="0"/>
      <w:color w:val="000000"/>
      <w:sz w:val="28"/>
      <w:szCs w:val="21"/>
    </w:rPr>
  </w:style>
  <w:style w:type="character" w:customStyle="1" w:styleId="392">
    <w:name w:val="正文大标题 Char"/>
    <w:link w:val="391"/>
    <w:qFormat/>
    <w:uiPriority w:val="0"/>
    <w:rPr>
      <w:rFonts w:ascii="宋体" w:hAnsi="宋体"/>
      <w:b/>
      <w:color w:val="000000"/>
      <w:sz w:val="28"/>
      <w:szCs w:val="21"/>
    </w:rPr>
  </w:style>
  <w:style w:type="paragraph" w:customStyle="1" w:styleId="393">
    <w:name w:val="注释"/>
    <w:basedOn w:val="1"/>
    <w:link w:val="394"/>
    <w:qFormat/>
    <w:uiPriority w:val="0"/>
    <w:pPr>
      <w:ind w:left="420" w:hanging="420"/>
      <w:jc w:val="left"/>
    </w:pPr>
    <w:rPr>
      <w:rFonts w:ascii="宋体" w:hAnsi="宋体"/>
      <w:szCs w:val="21"/>
    </w:rPr>
  </w:style>
  <w:style w:type="character" w:customStyle="1" w:styleId="394">
    <w:name w:val="注释 Char"/>
    <w:link w:val="393"/>
    <w:qFormat/>
    <w:uiPriority w:val="0"/>
    <w:rPr>
      <w:rFonts w:ascii="宋体" w:hAnsi="宋体"/>
      <w:sz w:val="21"/>
      <w:szCs w:val="21"/>
    </w:rPr>
  </w:style>
  <w:style w:type="paragraph" w:customStyle="1" w:styleId="395">
    <w:name w:val="正文须知-1级"/>
    <w:basedOn w:val="1"/>
    <w:next w:val="1"/>
    <w:qFormat/>
    <w:uiPriority w:val="0"/>
    <w:pPr>
      <w:numPr>
        <w:ilvl w:val="0"/>
        <w:numId w:val="7"/>
      </w:numPr>
      <w:spacing w:line="300" w:lineRule="auto"/>
    </w:pPr>
    <w:rPr>
      <w:rFonts w:ascii="宋体" w:hAnsi="Calibri"/>
      <w:sz w:val="24"/>
      <w:szCs w:val="21"/>
    </w:rPr>
  </w:style>
  <w:style w:type="paragraph" w:customStyle="1" w:styleId="396">
    <w:name w:val="正文须知-2级"/>
    <w:basedOn w:val="1"/>
    <w:qFormat/>
    <w:uiPriority w:val="0"/>
    <w:pPr>
      <w:numPr>
        <w:ilvl w:val="1"/>
        <w:numId w:val="7"/>
      </w:numPr>
      <w:spacing w:line="300" w:lineRule="auto"/>
    </w:pPr>
    <w:rPr>
      <w:rFonts w:ascii="宋体" w:hAnsi="Calibri"/>
      <w:sz w:val="24"/>
      <w:szCs w:val="21"/>
    </w:rPr>
  </w:style>
  <w:style w:type="paragraph" w:customStyle="1" w:styleId="397">
    <w:name w:val="正文须知-3级"/>
    <w:basedOn w:val="1"/>
    <w:qFormat/>
    <w:uiPriority w:val="0"/>
    <w:pPr>
      <w:numPr>
        <w:ilvl w:val="2"/>
        <w:numId w:val="7"/>
      </w:numPr>
      <w:spacing w:line="300" w:lineRule="auto"/>
      <w:ind w:hanging="355"/>
    </w:pPr>
    <w:rPr>
      <w:rFonts w:ascii="宋体" w:hAnsi="Calibri"/>
      <w:sz w:val="24"/>
      <w:szCs w:val="21"/>
    </w:rPr>
  </w:style>
  <w:style w:type="character" w:customStyle="1" w:styleId="398">
    <w:name w:val="纯文本 字符"/>
    <w:link w:val="1"/>
    <w:qFormat/>
    <w:uiPriority w:val="99"/>
    <w:rPr>
      <w:rFonts w:ascii="宋体" w:hAnsi="Courier New" w:eastAsia="宋体" w:cs="Times New Roman"/>
      <w:sz w:val="21"/>
      <w:szCs w:val="21"/>
      <w:lang w:val="en-US" w:eastAsia="zh-CN" w:bidi="ar-SA"/>
    </w:rPr>
  </w:style>
  <w:style w:type="paragraph" w:customStyle="1" w:styleId="399">
    <w:name w:val="表格1"/>
    <w:basedOn w:val="1"/>
    <w:qFormat/>
    <w:uiPriority w:val="0"/>
    <w:pPr>
      <w:ind w:firstLine="480"/>
      <w:jc w:val="center"/>
    </w:pPr>
    <w:rPr>
      <w:sz w:val="24"/>
      <w:szCs w:val="20"/>
    </w:rPr>
  </w:style>
  <w:style w:type="character" w:customStyle="1" w:styleId="400">
    <w:name w:val="纯文本 字符1"/>
    <w:link w:val="1"/>
    <w:qFormat/>
    <w:uiPriority w:val="0"/>
    <w:rPr>
      <w:rFonts w:ascii="宋体" w:hAnsi="Courier New"/>
    </w:rPr>
  </w:style>
  <w:style w:type="character" w:customStyle="1" w:styleId="401">
    <w:name w:val="bjh-p"/>
    <w:link w:val="1"/>
    <w:qFormat/>
    <w:uiPriority w:val="0"/>
  </w:style>
  <w:style w:type="paragraph" w:customStyle="1" w:styleId="402">
    <w:name w:val="无标题条"/>
    <w:next w:val="1"/>
    <w:qFormat/>
    <w:uiPriority w:val="0"/>
    <w:pPr>
      <w:jc w:val="both"/>
    </w:pPr>
    <w:rPr>
      <w:rFonts w:hint="default" w:ascii="Times New Roman" w:hAnsi="Times New Roman" w:eastAsia="宋体" w:cs="Times New Roman"/>
      <w:sz w:val="21"/>
      <w:lang w:val="en-US" w:eastAsia="zh-CN" w:bidi="ar-SA"/>
    </w:rPr>
  </w:style>
  <w:style w:type="character" w:customStyle="1" w:styleId="403">
    <w:name w:val="正文格式 Char"/>
    <w:link w:val="404"/>
    <w:qFormat/>
    <w:uiPriority w:val="0"/>
    <w:rPr>
      <w:rFonts w:ascii="宋体" w:hAnsi="宋体"/>
      <w:sz w:val="24"/>
      <w:szCs w:val="24"/>
      <w:lang w:val="en-GB"/>
    </w:rPr>
  </w:style>
  <w:style w:type="paragraph" w:customStyle="1" w:styleId="404">
    <w:name w:val="正文格式"/>
    <w:basedOn w:val="1"/>
    <w:link w:val="403"/>
    <w:qFormat/>
    <w:uiPriority w:val="0"/>
    <w:pPr>
      <w:spacing w:line="360" w:lineRule="auto"/>
      <w:ind w:firstLine="480"/>
    </w:pPr>
    <w:rPr>
      <w:rFonts w:ascii="宋体" w:hAnsi="宋体"/>
      <w:sz w:val="24"/>
      <w:lang w:val="en-GB"/>
    </w:rPr>
  </w:style>
  <w:style w:type="character" w:customStyle="1" w:styleId="405">
    <w:name w:val="标题 3 Char"/>
    <w:link w:val="1"/>
    <w:qFormat/>
    <w:uiPriority w:val="0"/>
    <w:rPr>
      <w:rFonts w:ascii="宋体" w:eastAsia="宋体"/>
      <w:b/>
      <w:sz w:val="24"/>
      <w:u w:val="single"/>
      <w:lang w:val="en-US" w:eastAsia="zh-CN" w:bidi="ar-SA"/>
    </w:rPr>
  </w:style>
  <w:style w:type="character" w:customStyle="1" w:styleId="406">
    <w:name w:val="正文缩进 Char"/>
    <w:link w:val="1"/>
    <w:qFormat/>
    <w:uiPriority w:val="0"/>
    <w:rPr>
      <w:rFonts w:ascii="宋体" w:eastAsia="宋体"/>
      <w:sz w:val="24"/>
      <w:szCs w:val="24"/>
      <w:lang w:val="en-US" w:eastAsia="zh-CN" w:bidi="ar-SA"/>
    </w:rPr>
  </w:style>
  <w:style w:type="character" w:customStyle="1" w:styleId="407">
    <w:name w:val="Char Char111"/>
    <w:link w:val="1"/>
    <w:qFormat/>
    <w:uiPriority w:val="0"/>
    <w:rPr>
      <w:rFonts w:ascii="宋体" w:eastAsia="宋体"/>
      <w:b/>
      <w:sz w:val="24"/>
      <w:u w:val="single"/>
      <w:lang w:val="en-US" w:eastAsia="zh-CN" w:bidi="ar-SA"/>
    </w:rPr>
  </w:style>
  <w:style w:type="character" w:customStyle="1" w:styleId="408">
    <w:name w:val="正文文本缩进 Char"/>
    <w:link w:val="1"/>
    <w:qFormat/>
    <w:uiPriority w:val="0"/>
    <w:rPr>
      <w:rFonts w:eastAsia="宋体"/>
      <w:sz w:val="24"/>
      <w:szCs w:val="24"/>
      <w:lang w:val="en-US" w:eastAsia="zh-CN" w:bidi="ar-SA"/>
    </w:rPr>
  </w:style>
  <w:style w:type="character" w:customStyle="1" w:styleId="409">
    <w:name w:val="列出段落 Char"/>
    <w:link w:val="1"/>
    <w:qFormat/>
    <w:uiPriority w:val="0"/>
    <w:rPr>
      <w:rFonts w:ascii="Calibri" w:hAnsi="Calibri" w:eastAsia="宋体"/>
      <w:sz w:val="21"/>
      <w:szCs w:val="22"/>
      <w:lang w:val="en-US" w:eastAsia="zh-CN" w:bidi="ar-SA"/>
    </w:rPr>
  </w:style>
  <w:style w:type="character" w:customStyle="1" w:styleId="410">
    <w:name w:val="页眉 Char"/>
    <w:link w:val="1"/>
    <w:qFormat/>
    <w:uiPriority w:val="0"/>
    <w:rPr>
      <w:rFonts w:eastAsia="宋体"/>
      <w:sz w:val="18"/>
      <w:szCs w:val="18"/>
      <w:lang w:val="en-US" w:eastAsia="zh-CN" w:bidi="ar-SA"/>
    </w:rPr>
  </w:style>
  <w:style w:type="character" w:customStyle="1" w:styleId="411">
    <w:name w:val="标题 2 Char"/>
    <w:link w:val="1"/>
    <w:qFormat/>
    <w:uiPriority w:val="0"/>
    <w:rPr>
      <w:rFonts w:ascii="Arial" w:hAnsi="Arial" w:eastAsia="黑体"/>
      <w:b/>
      <w:sz w:val="30"/>
      <w:lang w:val="en-US" w:eastAsia="zh-CN" w:bidi="ar-SA"/>
    </w:rPr>
  </w:style>
  <w:style w:type="paragraph" w:customStyle="1" w:styleId="412">
    <w:name w:val="字元 字元2"/>
    <w:basedOn w:val="1"/>
    <w:qFormat/>
    <w:uiPriority w:val="0"/>
    <w:rPr>
      <w:rFonts w:ascii="Tahoma" w:hAnsi="Tahoma"/>
      <w:sz w:val="24"/>
      <w:szCs w:val="20"/>
    </w:rPr>
  </w:style>
  <w:style w:type="paragraph" w:customStyle="1" w:styleId="413">
    <w:name w:val="Char3 Char Char Char2"/>
    <w:basedOn w:val="1"/>
    <w:qFormat/>
    <w:uiPriority w:val="0"/>
    <w:rPr>
      <w:rFonts w:ascii="Tahoma" w:hAnsi="Tahoma"/>
      <w:sz w:val="24"/>
      <w:szCs w:val="20"/>
    </w:rPr>
  </w:style>
  <w:style w:type="paragraph" w:customStyle="1" w:styleId="414">
    <w:name w:val="正文文本缩进2"/>
    <w:basedOn w:val="1"/>
    <w:qFormat/>
    <w:uiPriority w:val="0"/>
    <w:pPr>
      <w:spacing w:line="480" w:lineRule="exact"/>
      <w:ind w:firstLine="480"/>
    </w:pPr>
    <w:rPr>
      <w:rFonts w:ascii="宋体" w:hAnsi="宋体"/>
      <w:sz w:val="24"/>
      <w:lang w:val="zh-CN" w:eastAsia="zh-CN"/>
    </w:rPr>
  </w:style>
  <w:style w:type="paragraph" w:customStyle="1" w:styleId="415">
    <w:name w:val="Char3"/>
    <w:basedOn w:val="1"/>
    <w:qFormat/>
    <w:uiPriority w:val="0"/>
    <w:pPr>
      <w:tabs>
        <w:tab w:val="left" w:pos="360"/>
      </w:tabs>
    </w:pPr>
    <w:rPr>
      <w:sz w:val="24"/>
    </w:rPr>
  </w:style>
  <w:style w:type="paragraph" w:customStyle="1" w:styleId="416">
    <w:name w:val="Char Char Char Char Char Char Char Char Char Char Char Char Char Char Char Char1"/>
    <w:basedOn w:val="1"/>
    <w:qFormat/>
    <w:uiPriority w:val="0"/>
    <w:pPr>
      <w:widowControl/>
      <w:spacing w:after="160" w:line="240" w:lineRule="exact"/>
      <w:jc w:val="center"/>
    </w:pPr>
    <w:rPr>
      <w:rFonts w:ascii="宋体" w:hAnsi="宋体"/>
      <w:b/>
      <w:sz w:val="30"/>
      <w:szCs w:val="30"/>
      <w:lang w:eastAsia="en-US"/>
    </w:rPr>
  </w:style>
  <w:style w:type="paragraph" w:customStyle="1" w:styleId="417">
    <w:name w:val="Char Char1 Char Char Char Char Char Char1"/>
    <w:basedOn w:val="1"/>
    <w:qFormat/>
    <w:uiPriority w:val="0"/>
    <w:pPr>
      <w:widowControl/>
      <w:spacing w:after="160" w:line="240" w:lineRule="exact"/>
      <w:jc w:val="left"/>
    </w:pPr>
    <w:rPr>
      <w:rFonts w:ascii="Verdana" w:hAnsi="Verdana" w:eastAsia="仿宋_GB2312"/>
      <w:sz w:val="24"/>
      <w:szCs w:val="20"/>
      <w:lang w:eastAsia="en-US"/>
    </w:rPr>
  </w:style>
  <w:style w:type="paragraph" w:customStyle="1" w:styleId="418">
    <w:name w:val="列出段落2"/>
    <w:basedOn w:val="1"/>
    <w:qFormat/>
    <w:uiPriority w:val="0"/>
    <w:pPr>
      <w:ind w:firstLine="420"/>
    </w:pPr>
    <w:rPr>
      <w:rFonts w:ascii="Calibri" w:hAnsi="Calibri"/>
      <w:szCs w:val="22"/>
    </w:rPr>
  </w:style>
  <w:style w:type="paragraph" w:customStyle="1" w:styleId="419">
    <w:name w:val="Char Char Char1 Char2"/>
    <w:basedOn w:val="1"/>
    <w:qFormat/>
    <w:uiPriority w:val="0"/>
    <w:rPr>
      <w:rFonts w:ascii="Tahoma" w:hAnsi="Tahoma"/>
      <w:sz w:val="24"/>
      <w:szCs w:val="20"/>
    </w:rPr>
  </w:style>
  <w:style w:type="paragraph" w:customStyle="1" w:styleId="420">
    <w:name w:val="Char Char Char2"/>
    <w:basedOn w:val="1"/>
    <w:qFormat/>
    <w:uiPriority w:val="0"/>
    <w:rPr>
      <w:rFonts w:ascii="Tahoma" w:hAnsi="Tahoma"/>
      <w:sz w:val="24"/>
      <w:szCs w:val="20"/>
    </w:rPr>
  </w:style>
  <w:style w:type="paragraph" w:customStyle="1" w:styleId="421">
    <w:name w:val="Char Char Char Char Char Char Char2"/>
    <w:basedOn w:val="1"/>
    <w:qFormat/>
    <w:uiPriority w:val="0"/>
    <w:pPr>
      <w:spacing w:line="360" w:lineRule="auto"/>
      <w:ind w:firstLine="200"/>
    </w:pPr>
    <w:rPr>
      <w:rFonts w:eastAsia="仿宋_GB2312"/>
      <w:sz w:val="24"/>
    </w:rPr>
  </w:style>
  <w:style w:type="paragraph" w:customStyle="1" w:styleId="422">
    <w:name w:val="正文缩进2"/>
    <w:basedOn w:val="1"/>
    <w:qFormat/>
    <w:uiPriority w:val="0"/>
    <w:pPr>
      <w:widowControl/>
      <w:spacing w:line="480" w:lineRule="exact"/>
      <w:ind w:firstLine="567"/>
    </w:pPr>
    <w:rPr>
      <w:rFonts w:ascii="宋体"/>
      <w:color w:val="000000"/>
      <w:sz w:val="28"/>
      <w:szCs w:val="20"/>
      <w:lang w:val="zh-CN" w:eastAsia="zh-CN"/>
    </w:rPr>
  </w:style>
  <w:style w:type="paragraph" w:customStyle="1" w:styleId="423">
    <w:name w:val="Revision"/>
    <w:qFormat/>
    <w:uiPriority w:val="0"/>
    <w:rPr>
      <w:rFonts w:hint="default" w:ascii="Times New Roman" w:hAnsi="Times New Roman" w:eastAsia="宋体" w:cs="Times New Roman"/>
      <w:sz w:val="21"/>
      <w:szCs w:val="24"/>
      <w:lang w:val="en-US" w:eastAsia="zh-CN" w:bidi="ar-SA"/>
    </w:rPr>
  </w:style>
  <w:style w:type="paragraph" w:customStyle="1" w:styleId="424">
    <w:name w:val="Char22"/>
    <w:basedOn w:val="1"/>
    <w:qFormat/>
    <w:uiPriority w:val="0"/>
    <w:rPr>
      <w:rFonts w:ascii="Tahoma" w:hAnsi="Tahoma"/>
      <w:sz w:val="24"/>
      <w:szCs w:val="20"/>
    </w:rPr>
  </w:style>
  <w:style w:type="paragraph" w:customStyle="1" w:styleId="425">
    <w:name w:val="Char Char Char Char Char Char Char Char Char Char2"/>
    <w:basedOn w:val="1"/>
    <w:qFormat/>
    <w:uiPriority w:val="0"/>
    <w:rPr>
      <w:rFonts w:ascii="宋体" w:hAnsi="宋体" w:cs="Courier New"/>
      <w:sz w:val="32"/>
      <w:szCs w:val="32"/>
    </w:rPr>
  </w:style>
  <w:style w:type="paragraph" w:customStyle="1" w:styleId="426">
    <w:name w:val="Char2 Char Char Char Char Char Char1"/>
    <w:basedOn w:val="1"/>
    <w:qFormat/>
    <w:uiPriority w:val="0"/>
    <w:pPr>
      <w:widowControl/>
      <w:spacing w:line="400" w:lineRule="exact"/>
      <w:jc w:val="center"/>
    </w:pPr>
  </w:style>
  <w:style w:type="character" w:customStyle="1" w:styleId="427">
    <w:name w:val="页脚 Char"/>
    <w:link w:val="1"/>
    <w:qFormat/>
    <w:uiPriority w:val="0"/>
    <w:rPr>
      <w:rFonts w:ascii="宋体" w:eastAsia="宋体"/>
      <w:sz w:val="18"/>
      <w:lang w:val="en-US" w:eastAsia="zh-CN" w:bidi="ar-SA"/>
    </w:rPr>
  </w:style>
  <w:style w:type="paragraph" w:customStyle="1" w:styleId="428">
    <w:name w:val="Char Char41"/>
    <w:basedOn w:val="1"/>
    <w:qFormat/>
    <w:uiPriority w:val="0"/>
    <w:pPr>
      <w:widowControl/>
      <w:spacing w:line="400" w:lineRule="exact"/>
      <w:jc w:val="center"/>
    </w:pPr>
  </w:style>
  <w:style w:type="character" w:customStyle="1" w:styleId="429">
    <w:name w:val="批注文字 Char"/>
    <w:link w:val="1"/>
    <w:qFormat/>
    <w:uiPriority w:val="99"/>
    <w:rPr>
      <w:sz w:val="21"/>
      <w:szCs w:val="24"/>
    </w:rPr>
  </w:style>
  <w:style w:type="character" w:customStyle="1" w:styleId="430">
    <w:name w:val="标题 Char"/>
    <w:link w:val="1"/>
    <w:qFormat/>
    <w:uiPriority w:val="0"/>
    <w:rPr>
      <w:b/>
      <w:sz w:val="32"/>
    </w:rPr>
  </w:style>
  <w:style w:type="paragraph" w:customStyle="1" w:styleId="431">
    <w:name w:val="图例"/>
    <w:basedOn w:val="1"/>
    <w:qFormat/>
    <w:uiPriority w:val="0"/>
    <w:pPr>
      <w:spacing w:before="120" w:after="120" w:line="360" w:lineRule="auto"/>
      <w:jc w:val="center"/>
    </w:pPr>
    <w:rPr>
      <w:rFonts w:eastAsia="仿宋_GB2312"/>
      <w:b/>
      <w:sz w:val="24"/>
      <w:szCs w:val="20"/>
    </w:rPr>
  </w:style>
  <w:style w:type="table" w:customStyle="1" w:styleId="432">
    <w:name w:val="Table Normal"/>
    <w:unhideWhenUsed/>
    <w:qFormat/>
    <w:uiPriority w:val="2"/>
    <w:pPr>
      <w:widowControl w:val="0"/>
    </w:pPr>
    <w:rPr>
      <w:rFonts w:ascii="Calibri" w:hAnsi="Calibri"/>
      <w:sz w:val="22"/>
      <w:szCs w:val="22"/>
      <w:lang w:val="en-US" w:eastAsia="en-US" w:bidi="ar-SA"/>
    </w:rPr>
  </w:style>
  <w:style w:type="paragraph" w:customStyle="1" w:styleId="433">
    <w:name w:val="Table Paragraph"/>
    <w:basedOn w:val="1"/>
    <w:qFormat/>
    <w:uiPriority w:val="1"/>
    <w:pPr>
      <w:jc w:val="left"/>
    </w:pPr>
    <w:rPr>
      <w:rFonts w:ascii="宋体" w:hAnsi="宋体" w:cs="宋体"/>
      <w:sz w:val="22"/>
      <w:szCs w:val="22"/>
      <w:lang w:eastAsia="en-US"/>
    </w:rPr>
  </w:style>
  <w:style w:type="paragraph" w:customStyle="1" w:styleId="434">
    <w:name w:val="成文日期"/>
    <w:basedOn w:val="1"/>
    <w:link w:val="435"/>
    <w:qFormat/>
    <w:uiPriority w:val="0"/>
    <w:pPr>
      <w:spacing w:line="570" w:lineRule="exact"/>
      <w:ind w:right="400" w:firstLine="200"/>
      <w:jc w:val="right"/>
    </w:pPr>
    <w:rPr>
      <w:rFonts w:ascii="仿宋_GB2312" w:eastAsia="仿宋_GB2312"/>
      <w:sz w:val="32"/>
      <w:szCs w:val="20"/>
    </w:rPr>
  </w:style>
  <w:style w:type="character" w:customStyle="1" w:styleId="435">
    <w:name w:val="成文日期 Char"/>
    <w:link w:val="434"/>
    <w:qFormat/>
    <w:uiPriority w:val="0"/>
    <w:rPr>
      <w:rFonts w:ascii="仿宋_GB2312" w:eastAsia="仿宋_GB2312"/>
      <w:sz w:val="32"/>
    </w:rPr>
  </w:style>
  <w:style w:type="character" w:customStyle="1" w:styleId="436">
    <w:name w:val="font51"/>
    <w:basedOn w:val="194"/>
    <w:link w:val="1"/>
    <w:qFormat/>
    <w:uiPriority w:val="0"/>
    <w:rPr>
      <w:rFonts w:hint="eastAsia" w:ascii="微软雅黑" w:hAnsi="微软雅黑" w:eastAsia="微软雅黑" w:cs="微软雅黑"/>
      <w:color w:val="000000"/>
      <w:sz w:val="21"/>
      <w:szCs w:val="21"/>
      <w:u w:val="none"/>
    </w:rPr>
  </w:style>
  <w:style w:type="character" w:customStyle="1" w:styleId="437">
    <w:name w:val="font31"/>
    <w:basedOn w:val="194"/>
    <w:link w:val="1"/>
    <w:qFormat/>
    <w:uiPriority w:val="0"/>
    <w:rPr>
      <w:rFonts w:hint="eastAsia" w:ascii="宋体" w:hAnsi="宋体" w:eastAsia="宋体" w:cs="宋体"/>
      <w:color w:val="000000"/>
      <w:sz w:val="21"/>
      <w:szCs w:val="21"/>
      <w:u w:val="none"/>
    </w:rPr>
  </w:style>
  <w:style w:type="character" w:customStyle="1" w:styleId="438">
    <w:name w:val="font41"/>
    <w:basedOn w:val="194"/>
    <w:link w:val="1"/>
    <w:qFormat/>
    <w:uiPriority w:val="0"/>
    <w:rPr>
      <w:rFonts w:hint="eastAsia" w:ascii="微软雅黑" w:hAnsi="微软雅黑" w:eastAsia="微软雅黑" w:cs="微软雅黑"/>
      <w:color w:val="000000"/>
      <w:sz w:val="21"/>
      <w:szCs w:val="21"/>
      <w:u w:val="none"/>
    </w:rPr>
  </w:style>
  <w:style w:type="character" w:customStyle="1" w:styleId="439">
    <w:name w:val="font61"/>
    <w:basedOn w:val="194"/>
    <w:link w:val="1"/>
    <w:qFormat/>
    <w:uiPriority w:val="0"/>
    <w:rPr>
      <w:rFonts w:hint="eastAsia" w:ascii="宋体" w:hAnsi="宋体" w:eastAsia="宋体" w:cs="宋体"/>
      <w:color w:val="000000"/>
      <w:sz w:val="21"/>
      <w:szCs w:val="21"/>
      <w:u w:val="none"/>
    </w:rPr>
  </w:style>
  <w:style w:type="character" w:customStyle="1" w:styleId="440">
    <w:name w:val="font21"/>
    <w:basedOn w:val="194"/>
    <w:link w:val="1"/>
    <w:qFormat/>
    <w:uiPriority w:val="0"/>
    <w:rPr>
      <w:rFonts w:hint="eastAsia" w:ascii="宋体" w:hAnsi="宋体" w:eastAsia="宋体" w:cs="宋体"/>
      <w:color w:val="FF0000"/>
      <w:sz w:val="24"/>
      <w:szCs w:val="24"/>
      <w:u w:val="none"/>
    </w:rPr>
  </w:style>
  <w:style w:type="character" w:customStyle="1" w:styleId="441">
    <w:name w:val="font01"/>
    <w:basedOn w:val="194"/>
    <w:link w:val="1"/>
    <w:qFormat/>
    <w:uiPriority w:val="0"/>
    <w:rPr>
      <w:rFonts w:hint="eastAsia" w:ascii="宋体" w:hAnsi="宋体" w:eastAsia="宋体" w:cs="宋体"/>
      <w:color w:val="000000"/>
      <w:sz w:val="24"/>
      <w:szCs w:val="24"/>
      <w:u w:val="none"/>
    </w:rPr>
  </w:style>
  <w:style w:type="paragraph" w:customStyle="1" w:styleId="442">
    <w:name w:val="普通(网站)1"/>
    <w:basedOn w:val="1"/>
    <w:unhideWhenUsed/>
    <w:qFormat/>
    <w:uiPriority w:val="99"/>
    <w:pPr>
      <w:widowControl/>
      <w:spacing w:before="100" w:beforeAutospacing="1" w:after="100" w:afterAutospacing="1"/>
      <w:jc w:val="left"/>
    </w:pPr>
    <w:rPr>
      <w:rFonts w:ascii="宋体" w:hAnsi="宋体" w:cs="宋体"/>
      <w:sz w:val="24"/>
    </w:rPr>
  </w:style>
  <w:style w:type="paragraph" w:customStyle="1" w:styleId="443">
    <w:name w:val="列表段落"/>
    <w:qFormat/>
    <w:uiPriority w:val="34"/>
    <w:pPr>
      <w:widowControl w:val="0"/>
      <w:ind w:firstLine="420"/>
      <w:jc w:val="both"/>
    </w:pPr>
    <w:rPr>
      <w:rFonts w:ascii="Calibri" w:hAnsi="Calibri" w:eastAsia="宋体" w:cs="Times New Roman"/>
      <w:kern w:val="2"/>
      <w:sz w:val="21"/>
      <w:szCs w:val="22"/>
      <w:lang w:val="en-US" w:eastAsia="zh-CN" w:bidi="ar-SA"/>
    </w:rPr>
  </w:style>
  <w:style w:type="paragraph" w:customStyle="1" w:styleId="444">
    <w:name w:val="一、"/>
    <w:qFormat/>
    <w:uiPriority w:val="0"/>
    <w:pPr>
      <w:widowControl w:val="0"/>
      <w:spacing w:line="570" w:lineRule="exact"/>
      <w:ind w:firstLine="640" w:firstLineChars="200"/>
      <w:jc w:val="both"/>
    </w:pPr>
    <w:rPr>
      <w:rFonts w:ascii="Times New Roman" w:hAnsi="Times New Roman" w:eastAsia="黑体" w:cs="Times New Roman"/>
      <w:color w:val="0D1E0F"/>
      <w:kern w:val="2"/>
      <w:sz w:val="32"/>
      <w:szCs w:val="32"/>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header" Target="header4.xml"/><Relationship Id="rId8" Type="http://schemas.openxmlformats.org/officeDocument/2006/relationships/footer" Target="footer3.xml"/><Relationship Id="rId7" Type="http://schemas.openxmlformats.org/officeDocument/2006/relationships/header" Target="head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1" Type="http://schemas.openxmlformats.org/officeDocument/2006/relationships/fontTable" Target="fontTable.xml"/><Relationship Id="rId20" Type="http://schemas.openxmlformats.org/officeDocument/2006/relationships/numbering" Target="numbering.xml"/><Relationship Id="rId2" Type="http://schemas.openxmlformats.org/officeDocument/2006/relationships/settings" Target="settings.xml"/><Relationship Id="rId19" Type="http://schemas.openxmlformats.org/officeDocument/2006/relationships/theme" Target="theme/theme1.xml"/><Relationship Id="rId18" Type="http://schemas.openxmlformats.org/officeDocument/2006/relationships/footer" Target="footer8.xml"/><Relationship Id="rId17" Type="http://schemas.openxmlformats.org/officeDocument/2006/relationships/footer" Target="footer7.xml"/><Relationship Id="rId16" Type="http://schemas.openxmlformats.org/officeDocument/2006/relationships/header" Target="header8.xml"/><Relationship Id="rId15" Type="http://schemas.openxmlformats.org/officeDocument/2006/relationships/header" Target="header7.xml"/><Relationship Id="rId14" Type="http://schemas.openxmlformats.org/officeDocument/2006/relationships/footer" Target="footer6.xml"/><Relationship Id="rId13" Type="http://schemas.openxmlformats.org/officeDocument/2006/relationships/header" Target="header6.xml"/><Relationship Id="rId12" Type="http://schemas.openxmlformats.org/officeDocument/2006/relationships/footer" Target="footer5.xml"/><Relationship Id="rId11" Type="http://schemas.openxmlformats.org/officeDocument/2006/relationships/footer" Target="footer4.xml"/><Relationship Id="rId10" Type="http://schemas.openxmlformats.org/officeDocument/2006/relationships/header" Target="header5.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Template>
  <Company>Chi</Company>
  <Pages>54</Pages>
  <Words>24806</Words>
  <Characters>26049</Characters>
  <TotalTime>48</TotalTime>
  <ScaleCrop>false</ScaleCrop>
  <LinksUpToDate>false</LinksUpToDate>
  <CharactersWithSpaces>27360</CharactersWithSpaces>
  <Application>WPS Office_12.1.0.24034_F1E327BC-269C-435d-A152-05C5408002CA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2022-05-30T08:07:00Z</dcterms:created>
  <dc:creator>Yin </dc:creator>
  <cp:lastModifiedBy>施月平</cp:lastModifiedBy>
  <cp:lastPrinted>2026-01-09T01:55:00Z</cp:lastPrinted>
  <dcterms:modified xsi:type="dcterms:W3CDTF">2026-01-12T02:32:48Z</dcterms:modified>
  <dc:title>02年杜</dc:title>
  <cp:revision>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eyJoZGlkIjoiYzdhYTE3ZDE3MjVkMDk4OTdjZWZmZGJiNWQ2Y2ExNTEiLCJ1c2VySWQiOiI0NDU5NjQ0NTEifQ==</vt:lpwstr>
  </property>
  <property fmtid="{D5CDD505-2E9C-101B-9397-08002B2CF9AE}" pid="3" name="KSOProductBuildVer">
    <vt:lpwstr>2052-12.1.0.24034</vt:lpwstr>
  </property>
  <property fmtid="{D5CDD505-2E9C-101B-9397-08002B2CF9AE}" pid="4" name="ICV">
    <vt:lpwstr>108D6384E0184EFA82D5C9ACBDA1D6EB_12</vt:lpwstr>
  </property>
</Properties>
</file>